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8C6C" w14:textId="6FF08E1E" w:rsidR="00E94A0C" w:rsidRPr="0093413E" w:rsidRDefault="008614C2" w:rsidP="0093413E">
      <w:pPr>
        <w:jc w:val="center"/>
        <w:rPr>
          <w:rFonts w:asciiTheme="majorBidi" w:hAnsiTheme="majorBidi" w:cstheme="majorBidi"/>
          <w:b/>
          <w:bCs/>
          <w:sz w:val="28"/>
          <w:szCs w:val="28"/>
        </w:rPr>
      </w:pPr>
      <w:r w:rsidRPr="0093413E">
        <w:rPr>
          <w:rFonts w:asciiTheme="majorBidi" w:hAnsiTheme="majorBidi" w:cstheme="majorBidi"/>
          <w:b/>
          <w:bCs/>
          <w:sz w:val="28"/>
          <w:szCs w:val="28"/>
        </w:rPr>
        <w:t xml:space="preserve">The Price of Responsibility: ESG Performance and Its Effect on Bond </w:t>
      </w:r>
      <w:r w:rsidR="00D1382D" w:rsidRPr="0093413E">
        <w:rPr>
          <w:rFonts w:asciiTheme="majorBidi" w:hAnsiTheme="majorBidi" w:cstheme="majorBidi"/>
          <w:b/>
          <w:bCs/>
          <w:sz w:val="28"/>
          <w:szCs w:val="28"/>
        </w:rPr>
        <w:t xml:space="preserve">Costs </w:t>
      </w:r>
      <w:r w:rsidRPr="0093413E">
        <w:rPr>
          <w:rFonts w:asciiTheme="majorBidi" w:hAnsiTheme="majorBidi" w:cstheme="majorBidi"/>
          <w:b/>
          <w:bCs/>
          <w:sz w:val="28"/>
          <w:szCs w:val="28"/>
        </w:rPr>
        <w:t xml:space="preserve">and </w:t>
      </w:r>
      <w:r w:rsidR="00D1382D" w:rsidRPr="0093413E">
        <w:rPr>
          <w:rFonts w:asciiTheme="majorBidi" w:hAnsiTheme="majorBidi" w:cstheme="majorBidi"/>
          <w:b/>
          <w:bCs/>
          <w:sz w:val="28"/>
          <w:szCs w:val="28"/>
        </w:rPr>
        <w:t>Ratings</w:t>
      </w:r>
    </w:p>
    <w:p w14:paraId="303B28BB" w14:textId="77777777" w:rsidR="00D1382D" w:rsidRPr="0093413E" w:rsidRDefault="00D1382D" w:rsidP="0093413E">
      <w:pPr>
        <w:spacing w:line="480" w:lineRule="auto"/>
        <w:jc w:val="center"/>
        <w:rPr>
          <w:rFonts w:asciiTheme="majorBidi" w:hAnsiTheme="majorBidi" w:cstheme="majorBidi"/>
          <w:b/>
          <w:bCs/>
          <w:spacing w:val="-2"/>
          <w:sz w:val="24"/>
          <w:szCs w:val="24"/>
        </w:rPr>
      </w:pPr>
    </w:p>
    <w:p w14:paraId="3A90B59B" w14:textId="77777777" w:rsidR="00E94A0C" w:rsidRPr="0093413E" w:rsidRDefault="00E94A0C" w:rsidP="0093413E">
      <w:pPr>
        <w:spacing w:line="480" w:lineRule="auto"/>
        <w:ind w:left="1080" w:hanging="720"/>
        <w:jc w:val="center"/>
        <w:rPr>
          <w:rFonts w:asciiTheme="majorBidi" w:hAnsiTheme="majorBidi" w:cstheme="majorBidi"/>
          <w:sz w:val="24"/>
          <w:szCs w:val="24"/>
        </w:rPr>
      </w:pPr>
      <w:r w:rsidRPr="0093413E">
        <w:rPr>
          <w:rFonts w:asciiTheme="majorBidi" w:hAnsiTheme="majorBidi" w:cstheme="majorBidi"/>
          <w:sz w:val="24"/>
          <w:szCs w:val="24"/>
        </w:rPr>
        <w:t>Carmen Cotei</w:t>
      </w:r>
    </w:p>
    <w:p w14:paraId="37E208AF" w14:textId="77777777" w:rsidR="00063DE5" w:rsidRPr="0093413E" w:rsidRDefault="00063DE5" w:rsidP="0093413E">
      <w:pPr>
        <w:spacing w:line="480" w:lineRule="auto"/>
        <w:ind w:left="1080" w:hanging="720"/>
        <w:jc w:val="center"/>
        <w:rPr>
          <w:rFonts w:asciiTheme="majorBidi" w:hAnsiTheme="majorBidi" w:cstheme="majorBidi"/>
          <w:sz w:val="24"/>
          <w:szCs w:val="24"/>
        </w:rPr>
      </w:pPr>
      <w:r w:rsidRPr="0093413E">
        <w:rPr>
          <w:rFonts w:asciiTheme="majorBidi" w:hAnsiTheme="majorBidi" w:cstheme="majorBidi"/>
          <w:sz w:val="24"/>
          <w:szCs w:val="24"/>
        </w:rPr>
        <w:t>Professor of Finance - University of Hartford</w:t>
      </w:r>
    </w:p>
    <w:p w14:paraId="7573E947" w14:textId="77777777" w:rsidR="00063DE5" w:rsidRPr="0093413E" w:rsidRDefault="00063DE5" w:rsidP="0093413E">
      <w:pPr>
        <w:spacing w:line="480" w:lineRule="auto"/>
        <w:ind w:left="1080" w:hanging="720"/>
        <w:jc w:val="center"/>
        <w:rPr>
          <w:rFonts w:asciiTheme="majorBidi" w:hAnsiTheme="majorBidi" w:cstheme="majorBidi"/>
          <w:sz w:val="24"/>
          <w:szCs w:val="24"/>
        </w:rPr>
      </w:pPr>
      <w:r w:rsidRPr="0093413E">
        <w:rPr>
          <w:rFonts w:asciiTheme="majorBidi" w:hAnsiTheme="majorBidi" w:cstheme="majorBidi"/>
          <w:sz w:val="24"/>
          <w:szCs w:val="24"/>
        </w:rPr>
        <w:t>Ansley Chair in Finance - University of Hartford</w:t>
      </w:r>
    </w:p>
    <w:p w14:paraId="2DC6CB97" w14:textId="77777777" w:rsidR="00E94A0C" w:rsidRPr="0093413E" w:rsidRDefault="00E94A0C" w:rsidP="0093413E">
      <w:pPr>
        <w:spacing w:line="480" w:lineRule="auto"/>
        <w:ind w:left="1080" w:hanging="720"/>
        <w:jc w:val="center"/>
        <w:rPr>
          <w:rFonts w:asciiTheme="majorBidi" w:hAnsiTheme="majorBidi" w:cstheme="majorBidi"/>
          <w:sz w:val="24"/>
          <w:szCs w:val="24"/>
        </w:rPr>
      </w:pPr>
      <w:hyperlink r:id="rId7" w:history="1">
        <w:r w:rsidRPr="0093413E">
          <w:rPr>
            <w:rStyle w:val="Hyperlink"/>
            <w:rFonts w:asciiTheme="majorBidi" w:eastAsiaTheme="majorEastAsia" w:hAnsiTheme="majorBidi" w:cstheme="majorBidi"/>
            <w:sz w:val="24"/>
            <w:szCs w:val="24"/>
          </w:rPr>
          <w:t>cotei@hartford.edu</w:t>
        </w:r>
      </w:hyperlink>
    </w:p>
    <w:p w14:paraId="3E7D35B9" w14:textId="77777777" w:rsidR="00E94A0C" w:rsidRPr="0093413E" w:rsidRDefault="00E94A0C" w:rsidP="0093413E">
      <w:pPr>
        <w:spacing w:line="480" w:lineRule="auto"/>
        <w:ind w:left="1080" w:hanging="720"/>
        <w:jc w:val="center"/>
        <w:rPr>
          <w:rFonts w:asciiTheme="majorBidi" w:hAnsiTheme="majorBidi" w:cstheme="majorBidi"/>
          <w:sz w:val="24"/>
          <w:szCs w:val="24"/>
        </w:rPr>
      </w:pPr>
    </w:p>
    <w:p w14:paraId="6482DA30" w14:textId="77777777" w:rsidR="00E94A0C" w:rsidRPr="0093413E" w:rsidRDefault="00E94A0C" w:rsidP="0093413E">
      <w:pPr>
        <w:spacing w:line="480" w:lineRule="auto"/>
        <w:ind w:left="1080" w:hanging="720"/>
        <w:jc w:val="center"/>
        <w:rPr>
          <w:rFonts w:asciiTheme="majorBidi" w:hAnsiTheme="majorBidi" w:cstheme="majorBidi"/>
          <w:sz w:val="24"/>
          <w:szCs w:val="24"/>
        </w:rPr>
      </w:pPr>
      <w:r w:rsidRPr="0093413E">
        <w:rPr>
          <w:rFonts w:asciiTheme="majorBidi" w:hAnsiTheme="majorBidi" w:cstheme="majorBidi"/>
          <w:sz w:val="24"/>
          <w:szCs w:val="24"/>
        </w:rPr>
        <w:t>Joseph Farhat</w:t>
      </w:r>
    </w:p>
    <w:p w14:paraId="0AF9576E" w14:textId="5A53F8C6" w:rsidR="00E94A0C" w:rsidRPr="0093413E" w:rsidRDefault="00D41587" w:rsidP="0093413E">
      <w:pPr>
        <w:spacing w:line="480" w:lineRule="auto"/>
        <w:ind w:left="1080" w:hanging="720"/>
        <w:jc w:val="center"/>
        <w:rPr>
          <w:rFonts w:asciiTheme="majorBidi" w:hAnsiTheme="majorBidi" w:cstheme="majorBidi"/>
          <w:sz w:val="24"/>
          <w:szCs w:val="24"/>
        </w:rPr>
      </w:pPr>
      <w:r w:rsidRPr="0093413E">
        <w:rPr>
          <w:rFonts w:asciiTheme="majorBidi" w:hAnsiTheme="majorBidi" w:cstheme="majorBidi"/>
          <w:sz w:val="24"/>
          <w:szCs w:val="24"/>
        </w:rPr>
        <w:t xml:space="preserve">Professor of Finance - </w:t>
      </w:r>
      <w:r w:rsidR="00E94A0C" w:rsidRPr="0093413E">
        <w:rPr>
          <w:rFonts w:asciiTheme="majorBidi" w:hAnsiTheme="majorBidi" w:cstheme="majorBidi"/>
          <w:sz w:val="24"/>
          <w:szCs w:val="24"/>
        </w:rPr>
        <w:t xml:space="preserve">Central Connecticut State University </w:t>
      </w:r>
    </w:p>
    <w:p w14:paraId="3F7F50C7" w14:textId="056F63F7" w:rsidR="00D41587" w:rsidRPr="0093413E" w:rsidRDefault="00F16D19" w:rsidP="0093413E">
      <w:pPr>
        <w:spacing w:line="480" w:lineRule="auto"/>
        <w:ind w:left="1080" w:hanging="720"/>
        <w:jc w:val="center"/>
        <w:rPr>
          <w:rFonts w:asciiTheme="majorBidi" w:hAnsiTheme="majorBidi" w:cstheme="majorBidi"/>
          <w:sz w:val="24"/>
          <w:szCs w:val="24"/>
        </w:rPr>
      </w:pPr>
      <w:r w:rsidRPr="0093413E">
        <w:rPr>
          <w:rFonts w:asciiTheme="majorBidi" w:hAnsiTheme="majorBidi" w:cstheme="majorBidi"/>
          <w:sz w:val="24"/>
          <w:szCs w:val="24"/>
        </w:rPr>
        <w:t>Honorary</w:t>
      </w:r>
      <w:r w:rsidR="00D41587" w:rsidRPr="0093413E">
        <w:rPr>
          <w:rFonts w:asciiTheme="majorBidi" w:hAnsiTheme="majorBidi" w:cstheme="majorBidi"/>
          <w:sz w:val="24"/>
          <w:szCs w:val="24"/>
        </w:rPr>
        <w:t xml:space="preserve"> </w:t>
      </w:r>
      <w:r w:rsidR="009272BA" w:rsidRPr="0093413E">
        <w:rPr>
          <w:rFonts w:asciiTheme="majorBidi" w:hAnsiTheme="majorBidi" w:cstheme="majorBidi"/>
          <w:sz w:val="24"/>
          <w:szCs w:val="24"/>
        </w:rPr>
        <w:t>Adjunct Professor</w:t>
      </w:r>
      <w:r w:rsidR="00D41587" w:rsidRPr="0093413E">
        <w:rPr>
          <w:rFonts w:asciiTheme="majorBidi" w:hAnsiTheme="majorBidi" w:cstheme="majorBidi"/>
          <w:sz w:val="24"/>
          <w:szCs w:val="24"/>
        </w:rPr>
        <w:t xml:space="preserve"> of </w:t>
      </w:r>
      <w:r w:rsidR="00426A1D" w:rsidRPr="0093413E">
        <w:rPr>
          <w:rFonts w:asciiTheme="majorBidi" w:hAnsiTheme="majorBidi" w:cstheme="majorBidi"/>
          <w:sz w:val="24"/>
          <w:szCs w:val="24"/>
        </w:rPr>
        <w:t>Financial</w:t>
      </w:r>
      <w:r w:rsidR="00D41587" w:rsidRPr="0093413E">
        <w:rPr>
          <w:rFonts w:asciiTheme="majorBidi" w:hAnsiTheme="majorBidi" w:cstheme="majorBidi"/>
          <w:sz w:val="24"/>
          <w:szCs w:val="24"/>
        </w:rPr>
        <w:t xml:space="preserve"> </w:t>
      </w:r>
      <w:r w:rsidR="00426A1D" w:rsidRPr="0093413E">
        <w:rPr>
          <w:rFonts w:asciiTheme="majorBidi" w:hAnsiTheme="majorBidi" w:cstheme="majorBidi"/>
          <w:sz w:val="24"/>
          <w:szCs w:val="24"/>
        </w:rPr>
        <w:t>Economics</w:t>
      </w:r>
      <w:r w:rsidR="00701468" w:rsidRPr="0093413E">
        <w:rPr>
          <w:rFonts w:asciiTheme="majorBidi" w:hAnsiTheme="majorBidi" w:cstheme="majorBidi"/>
          <w:sz w:val="24"/>
          <w:szCs w:val="24"/>
        </w:rPr>
        <w:t xml:space="preserve"> </w:t>
      </w:r>
      <w:r w:rsidR="00D41587" w:rsidRPr="0093413E">
        <w:rPr>
          <w:rFonts w:asciiTheme="majorBidi" w:hAnsiTheme="majorBidi" w:cstheme="majorBidi"/>
          <w:sz w:val="24"/>
          <w:szCs w:val="24"/>
        </w:rPr>
        <w:t xml:space="preserve">- University of </w:t>
      </w:r>
      <w:r w:rsidR="00426A1D" w:rsidRPr="0093413E">
        <w:rPr>
          <w:rFonts w:asciiTheme="majorBidi" w:hAnsiTheme="majorBidi" w:cstheme="majorBidi"/>
          <w:sz w:val="24"/>
          <w:szCs w:val="24"/>
        </w:rPr>
        <w:t>Jordan</w:t>
      </w:r>
    </w:p>
    <w:p w14:paraId="1A9BD155" w14:textId="4EC9689E" w:rsidR="00E94A0C" w:rsidRPr="0093413E" w:rsidRDefault="000D5B48" w:rsidP="0093413E">
      <w:pPr>
        <w:spacing w:line="480" w:lineRule="auto"/>
        <w:ind w:left="1080" w:hanging="720"/>
        <w:jc w:val="center"/>
        <w:rPr>
          <w:rFonts w:asciiTheme="majorBidi" w:hAnsiTheme="majorBidi" w:cstheme="majorBidi"/>
          <w:sz w:val="24"/>
          <w:szCs w:val="24"/>
        </w:rPr>
      </w:pPr>
      <w:hyperlink r:id="rId8" w:history="1">
        <w:r w:rsidRPr="0093413E">
          <w:rPr>
            <w:rStyle w:val="Hyperlink"/>
            <w:rFonts w:asciiTheme="majorBidi" w:eastAsiaTheme="majorEastAsia" w:hAnsiTheme="majorBidi" w:cstheme="majorBidi"/>
            <w:sz w:val="24"/>
            <w:szCs w:val="24"/>
          </w:rPr>
          <w:t>josephfarhat@ccsu.edu</w:t>
        </w:r>
      </w:hyperlink>
    </w:p>
    <w:p w14:paraId="66BA7076" w14:textId="77777777" w:rsidR="00E94A0C" w:rsidRPr="0093413E" w:rsidRDefault="00E94A0C" w:rsidP="0093413E">
      <w:pPr>
        <w:spacing w:line="480" w:lineRule="auto"/>
        <w:ind w:left="1080" w:hanging="720"/>
        <w:jc w:val="center"/>
        <w:rPr>
          <w:rFonts w:asciiTheme="majorBidi" w:hAnsiTheme="majorBidi" w:cstheme="majorBidi"/>
          <w:sz w:val="24"/>
          <w:szCs w:val="24"/>
        </w:rPr>
      </w:pPr>
    </w:p>
    <w:p w14:paraId="19793CC1" w14:textId="77777777" w:rsidR="00E94A0C" w:rsidRPr="0093413E" w:rsidRDefault="00E94A0C" w:rsidP="0093413E">
      <w:pPr>
        <w:spacing w:line="480" w:lineRule="auto"/>
        <w:ind w:left="1080" w:hanging="720"/>
        <w:jc w:val="center"/>
        <w:rPr>
          <w:rFonts w:asciiTheme="majorBidi" w:hAnsiTheme="majorBidi" w:cstheme="majorBidi"/>
          <w:sz w:val="24"/>
          <w:szCs w:val="24"/>
        </w:rPr>
      </w:pPr>
    </w:p>
    <w:p w14:paraId="1BAC9472" w14:textId="27DC08DC" w:rsidR="00E94A0C" w:rsidRPr="0093413E" w:rsidRDefault="00E94A0C" w:rsidP="0093413E">
      <w:pPr>
        <w:spacing w:line="480" w:lineRule="auto"/>
        <w:ind w:left="1080" w:hanging="720"/>
        <w:jc w:val="center"/>
        <w:rPr>
          <w:rFonts w:asciiTheme="majorBidi" w:hAnsiTheme="majorBidi" w:cstheme="majorBidi"/>
          <w:sz w:val="24"/>
          <w:szCs w:val="24"/>
        </w:rPr>
      </w:pPr>
      <w:r w:rsidRPr="0093413E">
        <w:rPr>
          <w:rFonts w:asciiTheme="majorBidi" w:hAnsiTheme="majorBidi" w:cstheme="majorBidi"/>
          <w:sz w:val="24"/>
          <w:szCs w:val="24"/>
        </w:rPr>
        <w:t xml:space="preserve">Adel Sharkas </w:t>
      </w:r>
    </w:p>
    <w:p w14:paraId="0D9DEE76" w14:textId="77777777" w:rsidR="00C21B36" w:rsidRPr="0093413E" w:rsidRDefault="00426A1D" w:rsidP="0093413E">
      <w:pPr>
        <w:spacing w:line="480" w:lineRule="auto"/>
        <w:ind w:left="1080" w:hanging="720"/>
        <w:jc w:val="center"/>
        <w:rPr>
          <w:rFonts w:asciiTheme="majorBidi" w:hAnsiTheme="majorBidi" w:cstheme="majorBidi"/>
          <w:sz w:val="24"/>
          <w:szCs w:val="24"/>
        </w:rPr>
      </w:pPr>
      <w:r w:rsidRPr="0093413E">
        <w:rPr>
          <w:rFonts w:asciiTheme="majorBidi" w:hAnsiTheme="majorBidi" w:cstheme="majorBidi"/>
          <w:sz w:val="24"/>
          <w:szCs w:val="24"/>
        </w:rPr>
        <w:t>G</w:t>
      </w:r>
      <w:r w:rsidR="00C21B36" w:rsidRPr="0093413E">
        <w:rPr>
          <w:rFonts w:asciiTheme="majorBidi" w:hAnsiTheme="majorBidi" w:cstheme="majorBidi"/>
          <w:sz w:val="24"/>
          <w:szCs w:val="24"/>
        </w:rPr>
        <w:t>overnor - Central Bank of Jordan</w:t>
      </w:r>
    </w:p>
    <w:p w14:paraId="111E70A9" w14:textId="54042887" w:rsidR="00426A1D" w:rsidRPr="0093413E" w:rsidRDefault="00C21B36" w:rsidP="0093413E">
      <w:pPr>
        <w:spacing w:line="480" w:lineRule="auto"/>
        <w:ind w:left="1080" w:hanging="720"/>
        <w:jc w:val="center"/>
        <w:rPr>
          <w:rFonts w:asciiTheme="majorBidi" w:hAnsiTheme="majorBidi" w:cstheme="majorBidi"/>
          <w:sz w:val="24"/>
          <w:szCs w:val="24"/>
          <w:rtl/>
        </w:rPr>
      </w:pPr>
      <w:r w:rsidRPr="0093413E">
        <w:rPr>
          <w:rFonts w:asciiTheme="majorBidi" w:hAnsiTheme="majorBidi" w:cstheme="majorBidi"/>
          <w:sz w:val="24"/>
          <w:szCs w:val="24"/>
        </w:rPr>
        <w:t xml:space="preserve">Associate Professor of Finance - </w:t>
      </w:r>
      <w:r w:rsidR="00277933" w:rsidRPr="0093413E">
        <w:rPr>
          <w:rFonts w:asciiTheme="majorBidi" w:hAnsiTheme="majorBidi" w:cstheme="majorBidi"/>
          <w:sz w:val="24"/>
          <w:szCs w:val="24"/>
        </w:rPr>
        <w:t>The Institute of Banking Studies (IBS)</w:t>
      </w:r>
    </w:p>
    <w:p w14:paraId="0221F93A" w14:textId="77777777" w:rsidR="00B47496" w:rsidRPr="0093413E" w:rsidRDefault="00B47496" w:rsidP="0093413E">
      <w:pPr>
        <w:spacing w:line="480" w:lineRule="auto"/>
        <w:ind w:left="1080" w:hanging="720"/>
        <w:jc w:val="center"/>
        <w:rPr>
          <w:rFonts w:asciiTheme="majorBidi" w:hAnsiTheme="majorBidi" w:cstheme="majorBidi"/>
          <w:sz w:val="24"/>
          <w:szCs w:val="24"/>
        </w:rPr>
      </w:pPr>
      <w:r w:rsidRPr="0093413E">
        <w:rPr>
          <w:rFonts w:asciiTheme="majorBidi" w:hAnsiTheme="majorBidi" w:cstheme="majorBidi"/>
          <w:sz w:val="24"/>
          <w:szCs w:val="24"/>
        </w:rPr>
        <w:t>Central Bank of Jordan</w:t>
      </w:r>
    </w:p>
    <w:p w14:paraId="512B4934" w14:textId="3A2344E9" w:rsidR="00B47496" w:rsidRPr="0093413E" w:rsidRDefault="00B47496" w:rsidP="0093413E">
      <w:pPr>
        <w:spacing w:line="480" w:lineRule="auto"/>
        <w:ind w:left="1080" w:hanging="720"/>
        <w:jc w:val="center"/>
        <w:rPr>
          <w:rFonts w:asciiTheme="majorBidi" w:hAnsiTheme="majorBidi" w:cstheme="majorBidi"/>
          <w:sz w:val="24"/>
          <w:szCs w:val="24"/>
        </w:rPr>
      </w:pPr>
      <w:hyperlink r:id="rId9" w:history="1">
        <w:r w:rsidRPr="0093413E">
          <w:rPr>
            <w:rStyle w:val="Hyperlink"/>
            <w:rFonts w:asciiTheme="majorBidi" w:hAnsiTheme="majorBidi" w:cstheme="majorBidi"/>
            <w:sz w:val="24"/>
            <w:szCs w:val="24"/>
          </w:rPr>
          <w:t>governor@cbj.gov.jo</w:t>
        </w:r>
      </w:hyperlink>
    </w:p>
    <w:p w14:paraId="27F7A540" w14:textId="77777777" w:rsidR="00B47496" w:rsidRPr="0093413E" w:rsidRDefault="00B47496" w:rsidP="0093413E">
      <w:pPr>
        <w:spacing w:line="480" w:lineRule="auto"/>
        <w:ind w:left="1080" w:hanging="720"/>
        <w:jc w:val="center"/>
        <w:rPr>
          <w:rFonts w:asciiTheme="majorBidi" w:hAnsiTheme="majorBidi" w:cstheme="majorBidi"/>
          <w:sz w:val="24"/>
          <w:szCs w:val="24"/>
        </w:rPr>
      </w:pPr>
    </w:p>
    <w:p w14:paraId="351E7FAB" w14:textId="77777777" w:rsidR="00E94A0C" w:rsidRPr="0093413E" w:rsidRDefault="00E94A0C" w:rsidP="0093413E">
      <w:pPr>
        <w:spacing w:line="480" w:lineRule="auto"/>
        <w:ind w:left="1080" w:hanging="720"/>
        <w:jc w:val="center"/>
        <w:rPr>
          <w:rFonts w:asciiTheme="majorBidi" w:hAnsiTheme="majorBidi" w:cstheme="majorBidi"/>
          <w:i/>
          <w:sz w:val="24"/>
          <w:szCs w:val="24"/>
        </w:rPr>
      </w:pPr>
    </w:p>
    <w:p w14:paraId="6FC50A15" w14:textId="08BF7CAC" w:rsidR="00E94A0C" w:rsidRPr="0093413E" w:rsidRDefault="00E94A0C" w:rsidP="0093413E">
      <w:pPr>
        <w:spacing w:line="480" w:lineRule="auto"/>
        <w:ind w:left="90"/>
        <w:jc w:val="center"/>
        <w:rPr>
          <w:rFonts w:asciiTheme="majorBidi" w:hAnsiTheme="majorBidi" w:cstheme="majorBidi"/>
          <w:i/>
          <w:sz w:val="24"/>
          <w:szCs w:val="24"/>
        </w:rPr>
      </w:pPr>
      <w:r w:rsidRPr="0093413E">
        <w:rPr>
          <w:rFonts w:asciiTheme="majorBidi" w:hAnsiTheme="majorBidi" w:cstheme="majorBidi"/>
          <w:i/>
          <w:sz w:val="24"/>
          <w:szCs w:val="24"/>
        </w:rPr>
        <w:t>Preliminary draft</w:t>
      </w:r>
    </w:p>
    <w:p w14:paraId="73079E5D" w14:textId="0D30265B" w:rsidR="0093413E" w:rsidRDefault="00415E5C" w:rsidP="0093413E">
      <w:pPr>
        <w:spacing w:line="480" w:lineRule="auto"/>
        <w:jc w:val="center"/>
        <w:rPr>
          <w:rFonts w:asciiTheme="majorBidi" w:hAnsiTheme="majorBidi" w:cstheme="majorBidi"/>
          <w:b/>
          <w:sz w:val="24"/>
          <w:szCs w:val="24"/>
        </w:rPr>
      </w:pPr>
      <w:r>
        <w:rPr>
          <w:rFonts w:asciiTheme="majorBidi" w:hAnsiTheme="majorBidi" w:cstheme="majorBidi"/>
          <w:b/>
          <w:sz w:val="24"/>
          <w:szCs w:val="24"/>
        </w:rPr>
        <w:t>Tuesday, November 12, 2024</w:t>
      </w:r>
    </w:p>
    <w:p w14:paraId="1E04A56D" w14:textId="77777777" w:rsidR="00415E5C" w:rsidRDefault="00415E5C" w:rsidP="0093413E">
      <w:pPr>
        <w:spacing w:line="480" w:lineRule="auto"/>
        <w:jc w:val="center"/>
        <w:rPr>
          <w:rFonts w:asciiTheme="majorBidi" w:hAnsiTheme="majorBidi" w:cstheme="majorBidi"/>
          <w:b/>
          <w:sz w:val="24"/>
          <w:szCs w:val="24"/>
        </w:rPr>
      </w:pPr>
    </w:p>
    <w:p w14:paraId="0D1C13FE" w14:textId="704A7216" w:rsidR="009C5D74" w:rsidRPr="0093413E" w:rsidRDefault="009C5D74" w:rsidP="0093413E">
      <w:pPr>
        <w:spacing w:line="480" w:lineRule="auto"/>
        <w:jc w:val="center"/>
        <w:rPr>
          <w:rFonts w:asciiTheme="majorBidi" w:hAnsiTheme="majorBidi" w:cstheme="majorBidi"/>
          <w:b/>
          <w:sz w:val="24"/>
          <w:szCs w:val="24"/>
        </w:rPr>
      </w:pPr>
      <w:r w:rsidRPr="0093413E">
        <w:rPr>
          <w:rFonts w:asciiTheme="majorBidi" w:hAnsiTheme="majorBidi" w:cstheme="majorBidi"/>
          <w:b/>
          <w:sz w:val="24"/>
          <w:szCs w:val="24"/>
        </w:rPr>
        <w:lastRenderedPageBreak/>
        <w:t>ABSTRACT</w:t>
      </w:r>
    </w:p>
    <w:p w14:paraId="329A84B1" w14:textId="55643C3C" w:rsidR="00C01895" w:rsidRPr="0042361F" w:rsidRDefault="00C01895" w:rsidP="00C01895">
      <w:pPr>
        <w:ind w:left="540"/>
        <w:jc w:val="both"/>
        <w:rPr>
          <w:rFonts w:asciiTheme="majorBidi" w:hAnsiTheme="majorBidi" w:cstheme="majorBidi"/>
        </w:rPr>
      </w:pPr>
      <w:r w:rsidRPr="0042361F">
        <w:rPr>
          <w:rFonts w:asciiTheme="majorBidi" w:hAnsiTheme="majorBidi" w:cstheme="majorBidi"/>
        </w:rPr>
        <w:t xml:space="preserve">This paper examines whether the environmental, social, and governance (ESG) performance </w:t>
      </w:r>
      <w:proofErr w:type="gramStart"/>
      <w:r w:rsidR="00260733">
        <w:rPr>
          <w:rFonts w:asciiTheme="majorBidi" w:hAnsiTheme="majorBidi" w:cstheme="majorBidi"/>
        </w:rPr>
        <w:t>impact</w:t>
      </w:r>
      <w:proofErr w:type="gramEnd"/>
      <w:r w:rsidR="00260733">
        <w:rPr>
          <w:rFonts w:asciiTheme="majorBidi" w:hAnsiTheme="majorBidi" w:cstheme="majorBidi"/>
        </w:rPr>
        <w:t xml:space="preserve"> </w:t>
      </w:r>
      <w:proofErr w:type="gramStart"/>
      <w:r w:rsidR="00260733">
        <w:rPr>
          <w:rFonts w:asciiTheme="majorBidi" w:hAnsiTheme="majorBidi" w:cstheme="majorBidi"/>
        </w:rPr>
        <w:t>firm’s</w:t>
      </w:r>
      <w:proofErr w:type="gramEnd"/>
      <w:r w:rsidR="00260733">
        <w:rPr>
          <w:rFonts w:asciiTheme="majorBidi" w:hAnsiTheme="majorBidi" w:cstheme="majorBidi"/>
        </w:rPr>
        <w:t xml:space="preserve"> cost of det, bond rating and improve market </w:t>
      </w:r>
      <w:r w:rsidRPr="0042361F">
        <w:rPr>
          <w:rFonts w:asciiTheme="majorBidi" w:hAnsiTheme="majorBidi" w:cstheme="majorBidi"/>
        </w:rPr>
        <w:t xml:space="preserve">reactions to </w:t>
      </w:r>
      <w:r w:rsidR="00260733">
        <w:rPr>
          <w:rFonts w:asciiTheme="majorBidi" w:hAnsiTheme="majorBidi" w:cstheme="majorBidi"/>
        </w:rPr>
        <w:t>bond</w:t>
      </w:r>
      <w:r w:rsidRPr="0042361F">
        <w:rPr>
          <w:rFonts w:asciiTheme="majorBidi" w:hAnsiTheme="majorBidi" w:cstheme="majorBidi"/>
        </w:rPr>
        <w:t xml:space="preserve"> offerings.</w:t>
      </w:r>
      <w:r w:rsidRPr="0042361F">
        <w:rPr>
          <w:rFonts w:asciiTheme="majorBidi" w:hAnsiTheme="majorBidi" w:cstheme="majorBidi"/>
          <w:b/>
          <w:bCs/>
        </w:rPr>
        <w:t xml:space="preserve"> </w:t>
      </w:r>
      <w:r w:rsidRPr="0042361F">
        <w:rPr>
          <w:rFonts w:asciiTheme="majorBidi" w:hAnsiTheme="majorBidi" w:cstheme="majorBidi"/>
        </w:rPr>
        <w:t xml:space="preserve">Using a dataset of </w:t>
      </w:r>
      <w:r w:rsidR="00260733">
        <w:rPr>
          <w:rFonts w:asciiTheme="majorBidi" w:hAnsiTheme="majorBidi" w:cstheme="majorBidi"/>
        </w:rPr>
        <w:t>8547</w:t>
      </w:r>
      <w:r w:rsidRPr="0042361F">
        <w:rPr>
          <w:rFonts w:asciiTheme="majorBidi" w:hAnsiTheme="majorBidi" w:cstheme="majorBidi"/>
        </w:rPr>
        <w:t xml:space="preserve"> </w:t>
      </w:r>
      <w:r w:rsidR="006107C2">
        <w:rPr>
          <w:rFonts w:asciiTheme="majorBidi" w:hAnsiTheme="majorBidi" w:cstheme="majorBidi"/>
        </w:rPr>
        <w:t>bonds</w:t>
      </w:r>
      <w:r w:rsidRPr="0042361F">
        <w:rPr>
          <w:rFonts w:asciiTheme="majorBidi" w:hAnsiTheme="majorBidi" w:cstheme="majorBidi"/>
        </w:rPr>
        <w:t xml:space="preserve"> issued by </w:t>
      </w:r>
      <w:r w:rsidR="006107C2">
        <w:rPr>
          <w:rFonts w:asciiTheme="majorBidi" w:hAnsiTheme="majorBidi" w:cstheme="majorBidi"/>
        </w:rPr>
        <w:t>1250</w:t>
      </w:r>
      <w:r w:rsidRPr="0042361F">
        <w:rPr>
          <w:rFonts w:asciiTheme="majorBidi" w:hAnsiTheme="majorBidi" w:cstheme="majorBidi"/>
        </w:rPr>
        <w:t xml:space="preserve"> U.S. firms during the 200</w:t>
      </w:r>
      <w:r w:rsidR="006107C2">
        <w:rPr>
          <w:rFonts w:asciiTheme="majorBidi" w:hAnsiTheme="majorBidi" w:cstheme="majorBidi"/>
        </w:rPr>
        <w:t>4</w:t>
      </w:r>
      <w:r w:rsidRPr="0042361F">
        <w:rPr>
          <w:rFonts w:asciiTheme="majorBidi" w:hAnsiTheme="majorBidi" w:cstheme="majorBidi"/>
        </w:rPr>
        <w:t xml:space="preserve"> to 202</w:t>
      </w:r>
      <w:r w:rsidR="006107C2">
        <w:rPr>
          <w:rFonts w:asciiTheme="majorBidi" w:hAnsiTheme="majorBidi" w:cstheme="majorBidi"/>
        </w:rPr>
        <w:t>2</w:t>
      </w:r>
      <w:r w:rsidRPr="0042361F">
        <w:rPr>
          <w:rFonts w:asciiTheme="majorBidi" w:hAnsiTheme="majorBidi" w:cstheme="majorBidi"/>
        </w:rPr>
        <w:t xml:space="preserve"> period, the paper investigates how each ESG pillar impacts </w:t>
      </w:r>
      <w:r w:rsidR="006107C2">
        <w:rPr>
          <w:rFonts w:asciiTheme="majorBidi" w:hAnsiTheme="majorBidi" w:cstheme="majorBidi"/>
        </w:rPr>
        <w:t xml:space="preserve">cost of debt, bond rating and market </w:t>
      </w:r>
      <w:r w:rsidR="00F9374D">
        <w:rPr>
          <w:rFonts w:asciiTheme="majorBidi" w:hAnsiTheme="majorBidi" w:cstheme="majorBidi"/>
        </w:rPr>
        <w:t>reaction</w:t>
      </w:r>
      <w:r w:rsidRPr="0042361F">
        <w:rPr>
          <w:rFonts w:asciiTheme="majorBidi" w:hAnsiTheme="majorBidi" w:cstheme="majorBidi"/>
        </w:rPr>
        <w:t xml:space="preserve">. This paper suggests that </w:t>
      </w:r>
      <w:r w:rsidR="00311DBB">
        <w:rPr>
          <w:rFonts w:asciiTheme="majorBidi" w:hAnsiTheme="majorBidi" w:cstheme="majorBidi"/>
        </w:rPr>
        <w:t xml:space="preserve">firms with </w:t>
      </w:r>
      <w:r w:rsidRPr="0042361F">
        <w:rPr>
          <w:rFonts w:asciiTheme="majorBidi" w:hAnsiTheme="majorBidi" w:cstheme="majorBidi"/>
        </w:rPr>
        <w:t>better environmental, social, and governance performance</w:t>
      </w:r>
      <w:r w:rsidR="00C62B76" w:rsidRPr="00C62B76">
        <w:t xml:space="preserve"> </w:t>
      </w:r>
      <w:r w:rsidR="0087491D">
        <w:t>are perceived</w:t>
      </w:r>
      <w:r w:rsidR="00350963">
        <w:t xml:space="preserve"> </w:t>
      </w:r>
      <w:r w:rsidR="00F9374D">
        <w:t>as</w:t>
      </w:r>
      <w:r w:rsidR="00350963">
        <w:t xml:space="preserve"> lower-risk borrowers by the market</w:t>
      </w:r>
      <w:r w:rsidR="00311DBB">
        <w:t xml:space="preserve"> </w:t>
      </w:r>
      <w:r w:rsidRPr="0042361F">
        <w:rPr>
          <w:rFonts w:asciiTheme="majorBidi" w:hAnsiTheme="majorBidi" w:cstheme="majorBidi"/>
        </w:rPr>
        <w:t xml:space="preserve">. Overall, the paper finds evidence that ESG performance reduces </w:t>
      </w:r>
      <w:r w:rsidR="00350963">
        <w:rPr>
          <w:rFonts w:asciiTheme="majorBidi" w:hAnsiTheme="majorBidi" w:cstheme="majorBidi"/>
        </w:rPr>
        <w:t>the cost of Debt, improve Bond rating</w:t>
      </w:r>
      <w:r w:rsidR="007F1177">
        <w:rPr>
          <w:rFonts w:asciiTheme="majorBidi" w:hAnsiTheme="majorBidi" w:cstheme="majorBidi"/>
        </w:rPr>
        <w:t xml:space="preserve">s and lower </w:t>
      </w:r>
      <w:r w:rsidRPr="0042361F">
        <w:rPr>
          <w:rFonts w:asciiTheme="majorBidi" w:hAnsiTheme="majorBidi" w:cstheme="majorBidi"/>
        </w:rPr>
        <w:t>the adverse market reaction to</w:t>
      </w:r>
      <w:r w:rsidR="00476A1C">
        <w:rPr>
          <w:rFonts w:asciiTheme="majorBidi" w:hAnsiTheme="majorBidi" w:cstheme="majorBidi"/>
        </w:rPr>
        <w:t xml:space="preserve"> </w:t>
      </w:r>
      <w:r w:rsidR="007F1177">
        <w:rPr>
          <w:rFonts w:asciiTheme="majorBidi" w:hAnsiTheme="majorBidi" w:cstheme="majorBidi"/>
        </w:rPr>
        <w:t>Bonds issue</w:t>
      </w:r>
      <w:r w:rsidRPr="0042361F">
        <w:rPr>
          <w:rFonts w:asciiTheme="majorBidi" w:hAnsiTheme="majorBidi" w:cstheme="majorBidi"/>
        </w:rPr>
        <w:t xml:space="preserve"> announcements </w:t>
      </w:r>
      <w:r w:rsidR="007F1177">
        <w:rPr>
          <w:rFonts w:asciiTheme="majorBidi" w:hAnsiTheme="majorBidi" w:cstheme="majorBidi"/>
        </w:rPr>
        <w:t>.</w:t>
      </w:r>
      <w:r w:rsidRPr="0042361F">
        <w:rPr>
          <w:rFonts w:asciiTheme="majorBidi" w:hAnsiTheme="majorBidi" w:cstheme="majorBidi"/>
        </w:rPr>
        <w:t xml:space="preserve"> Each of the three ESG pillars significantly impacts </w:t>
      </w:r>
      <w:r w:rsidR="00476A1C">
        <w:rPr>
          <w:rFonts w:asciiTheme="majorBidi" w:hAnsiTheme="majorBidi" w:cstheme="majorBidi"/>
        </w:rPr>
        <w:t>the cost of Debt</w:t>
      </w:r>
      <w:r w:rsidRPr="0042361F">
        <w:rPr>
          <w:rFonts w:asciiTheme="majorBidi" w:hAnsiTheme="majorBidi" w:cstheme="majorBidi"/>
        </w:rPr>
        <w:t xml:space="preserve">. </w:t>
      </w:r>
    </w:p>
    <w:p w14:paraId="6CE159FB" w14:textId="77777777" w:rsidR="00C01895" w:rsidRPr="0042361F" w:rsidRDefault="00C01895" w:rsidP="00C01895">
      <w:pPr>
        <w:rPr>
          <w:rFonts w:asciiTheme="majorBidi" w:hAnsiTheme="majorBidi" w:cstheme="majorBidi"/>
        </w:rPr>
      </w:pPr>
    </w:p>
    <w:p w14:paraId="1C45F0AA" w14:textId="77777777" w:rsidR="00C01895" w:rsidRPr="0042361F" w:rsidRDefault="00C01895" w:rsidP="00C01895">
      <w:pPr>
        <w:rPr>
          <w:rFonts w:asciiTheme="majorBidi" w:hAnsiTheme="majorBidi" w:cstheme="majorBidi"/>
        </w:rPr>
      </w:pPr>
    </w:p>
    <w:p w14:paraId="422E749D" w14:textId="45E48E69" w:rsidR="00C01895" w:rsidRPr="0042361F" w:rsidRDefault="00C01895" w:rsidP="00C01895">
      <w:pPr>
        <w:ind w:left="540"/>
        <w:jc w:val="both"/>
        <w:rPr>
          <w:rFonts w:asciiTheme="majorBidi" w:hAnsiTheme="majorBidi" w:cstheme="majorBidi"/>
        </w:rPr>
      </w:pPr>
      <w:r w:rsidRPr="0042361F">
        <w:rPr>
          <w:rFonts w:asciiTheme="majorBidi" w:hAnsiTheme="majorBidi" w:cstheme="majorBidi"/>
        </w:rPr>
        <w:t>Keywords:</w:t>
      </w:r>
      <w:r w:rsidR="00476A1C">
        <w:rPr>
          <w:rFonts w:asciiTheme="majorBidi" w:hAnsiTheme="majorBidi" w:cstheme="majorBidi"/>
        </w:rPr>
        <w:t xml:space="preserve"> Cost of Debt, </w:t>
      </w:r>
      <w:r w:rsidRPr="0042361F">
        <w:rPr>
          <w:rFonts w:asciiTheme="majorBidi" w:hAnsiTheme="majorBidi" w:cstheme="majorBidi"/>
        </w:rPr>
        <w:t xml:space="preserve"> Environmental, Social, and Governance (ESG), </w:t>
      </w:r>
      <w:r w:rsidR="00476A1C">
        <w:rPr>
          <w:rFonts w:asciiTheme="majorBidi" w:hAnsiTheme="majorBidi" w:cstheme="majorBidi"/>
        </w:rPr>
        <w:t>Bond</w:t>
      </w:r>
      <w:r w:rsidRPr="0042361F">
        <w:rPr>
          <w:rFonts w:asciiTheme="majorBidi" w:hAnsiTheme="majorBidi" w:cstheme="majorBidi"/>
        </w:rPr>
        <w:t xml:space="preserve"> Offerings (SEO), Corporate Social Responsibility (CSR)</w:t>
      </w:r>
    </w:p>
    <w:p w14:paraId="0B3C701F" w14:textId="77777777" w:rsidR="00C01895" w:rsidRPr="0042361F" w:rsidRDefault="00C01895" w:rsidP="00C01895">
      <w:pPr>
        <w:ind w:left="540"/>
        <w:jc w:val="both"/>
        <w:rPr>
          <w:rFonts w:asciiTheme="majorBidi" w:hAnsiTheme="majorBidi" w:cstheme="majorBidi"/>
        </w:rPr>
      </w:pPr>
    </w:p>
    <w:p w14:paraId="28A61ADF" w14:textId="77777777" w:rsidR="00C01895" w:rsidRPr="0042361F" w:rsidRDefault="00C01895" w:rsidP="00C01895">
      <w:pPr>
        <w:ind w:left="540"/>
        <w:jc w:val="both"/>
        <w:rPr>
          <w:rFonts w:asciiTheme="majorBidi" w:hAnsiTheme="majorBidi" w:cstheme="majorBidi"/>
        </w:rPr>
      </w:pPr>
      <w:r w:rsidRPr="0042361F">
        <w:rPr>
          <w:rFonts w:asciiTheme="majorBidi" w:hAnsiTheme="majorBidi" w:cstheme="majorBidi"/>
        </w:rPr>
        <w:t>JEL classification: G32; M14, G34</w:t>
      </w:r>
    </w:p>
    <w:p w14:paraId="0761AD0A" w14:textId="77777777" w:rsidR="00C01895" w:rsidRPr="00B67CC0" w:rsidRDefault="00C01895" w:rsidP="00C01895">
      <w:pPr>
        <w:rPr>
          <w:rFonts w:asciiTheme="majorBidi" w:hAnsiTheme="majorBidi" w:cstheme="majorBidi"/>
          <w:sz w:val="20"/>
          <w:szCs w:val="20"/>
        </w:rPr>
      </w:pPr>
    </w:p>
    <w:p w14:paraId="0937A1B0" w14:textId="77777777" w:rsidR="009C5D74" w:rsidRPr="0093413E" w:rsidRDefault="009C5D74" w:rsidP="0093413E">
      <w:pPr>
        <w:pStyle w:val="BodyText"/>
        <w:spacing w:line="480" w:lineRule="auto"/>
        <w:rPr>
          <w:rFonts w:asciiTheme="majorBidi" w:hAnsiTheme="majorBidi" w:cstheme="majorBidi"/>
          <w:b/>
        </w:rPr>
      </w:pPr>
    </w:p>
    <w:p w14:paraId="6F9FA971" w14:textId="77777777" w:rsidR="009732AA" w:rsidRPr="0093413E" w:rsidRDefault="009732AA" w:rsidP="0093413E">
      <w:pPr>
        <w:spacing w:line="480" w:lineRule="auto"/>
        <w:rPr>
          <w:rFonts w:asciiTheme="majorBidi" w:hAnsiTheme="majorBidi" w:cstheme="majorBidi"/>
          <w:sz w:val="24"/>
          <w:szCs w:val="24"/>
        </w:rPr>
      </w:pPr>
    </w:p>
    <w:p w14:paraId="19B5AE1D" w14:textId="77777777" w:rsidR="00F30C93" w:rsidRPr="0093413E" w:rsidRDefault="00F30C93" w:rsidP="0093413E">
      <w:pPr>
        <w:spacing w:line="480" w:lineRule="auto"/>
        <w:rPr>
          <w:rFonts w:asciiTheme="majorBidi" w:hAnsiTheme="majorBidi" w:cstheme="majorBidi"/>
          <w:sz w:val="24"/>
          <w:szCs w:val="24"/>
        </w:rPr>
      </w:pPr>
    </w:p>
    <w:p w14:paraId="7F5C5533" w14:textId="77777777" w:rsidR="003872B3" w:rsidRDefault="003872B3" w:rsidP="0093413E">
      <w:pPr>
        <w:spacing w:line="480" w:lineRule="auto"/>
        <w:rPr>
          <w:rFonts w:asciiTheme="majorBidi" w:hAnsiTheme="majorBidi" w:cstheme="majorBidi"/>
          <w:sz w:val="24"/>
          <w:szCs w:val="24"/>
        </w:rPr>
      </w:pPr>
    </w:p>
    <w:p w14:paraId="463EDAD9" w14:textId="77777777" w:rsidR="0093413E" w:rsidRDefault="0093413E" w:rsidP="0093413E">
      <w:pPr>
        <w:spacing w:line="480" w:lineRule="auto"/>
        <w:rPr>
          <w:rFonts w:asciiTheme="majorBidi" w:hAnsiTheme="majorBidi" w:cstheme="majorBidi"/>
          <w:sz w:val="24"/>
          <w:szCs w:val="24"/>
        </w:rPr>
      </w:pPr>
    </w:p>
    <w:p w14:paraId="68F55E45" w14:textId="77777777" w:rsidR="0093413E" w:rsidRDefault="0093413E" w:rsidP="0093413E">
      <w:pPr>
        <w:spacing w:line="480" w:lineRule="auto"/>
        <w:rPr>
          <w:rFonts w:asciiTheme="majorBidi" w:hAnsiTheme="majorBidi" w:cstheme="majorBidi"/>
          <w:sz w:val="24"/>
          <w:szCs w:val="24"/>
        </w:rPr>
      </w:pPr>
    </w:p>
    <w:p w14:paraId="16D9BC29" w14:textId="77777777" w:rsidR="0093413E" w:rsidRDefault="0093413E" w:rsidP="0093413E">
      <w:pPr>
        <w:spacing w:line="480" w:lineRule="auto"/>
        <w:rPr>
          <w:rFonts w:asciiTheme="majorBidi" w:hAnsiTheme="majorBidi" w:cstheme="majorBidi"/>
          <w:sz w:val="24"/>
          <w:szCs w:val="24"/>
        </w:rPr>
      </w:pPr>
    </w:p>
    <w:p w14:paraId="330BD371" w14:textId="77777777" w:rsidR="0093413E" w:rsidRDefault="0093413E" w:rsidP="0093413E">
      <w:pPr>
        <w:spacing w:line="480" w:lineRule="auto"/>
        <w:rPr>
          <w:rFonts w:asciiTheme="majorBidi" w:hAnsiTheme="majorBidi" w:cstheme="majorBidi"/>
          <w:sz w:val="24"/>
          <w:szCs w:val="24"/>
        </w:rPr>
      </w:pPr>
    </w:p>
    <w:p w14:paraId="1B44E093" w14:textId="77777777" w:rsidR="0093413E" w:rsidRDefault="0093413E" w:rsidP="0093413E">
      <w:pPr>
        <w:spacing w:line="480" w:lineRule="auto"/>
        <w:rPr>
          <w:rFonts w:asciiTheme="majorBidi" w:hAnsiTheme="majorBidi" w:cstheme="majorBidi"/>
          <w:sz w:val="24"/>
          <w:szCs w:val="24"/>
        </w:rPr>
      </w:pPr>
    </w:p>
    <w:p w14:paraId="01D3304B" w14:textId="77777777" w:rsidR="0093413E" w:rsidRDefault="0093413E" w:rsidP="0093413E">
      <w:pPr>
        <w:spacing w:line="480" w:lineRule="auto"/>
        <w:rPr>
          <w:rFonts w:asciiTheme="majorBidi" w:hAnsiTheme="majorBidi" w:cstheme="majorBidi"/>
          <w:sz w:val="24"/>
          <w:szCs w:val="24"/>
        </w:rPr>
      </w:pPr>
    </w:p>
    <w:p w14:paraId="284B7B70" w14:textId="77777777" w:rsidR="0093413E" w:rsidRDefault="0093413E" w:rsidP="0093413E">
      <w:pPr>
        <w:spacing w:line="480" w:lineRule="auto"/>
        <w:rPr>
          <w:rFonts w:asciiTheme="majorBidi" w:hAnsiTheme="majorBidi" w:cstheme="majorBidi"/>
          <w:sz w:val="24"/>
          <w:szCs w:val="24"/>
        </w:rPr>
      </w:pPr>
    </w:p>
    <w:p w14:paraId="7935058E" w14:textId="77777777" w:rsidR="0093413E" w:rsidRDefault="0093413E" w:rsidP="0093413E">
      <w:pPr>
        <w:spacing w:line="480" w:lineRule="auto"/>
        <w:rPr>
          <w:rFonts w:asciiTheme="majorBidi" w:hAnsiTheme="majorBidi" w:cstheme="majorBidi"/>
          <w:sz w:val="24"/>
          <w:szCs w:val="24"/>
        </w:rPr>
      </w:pPr>
    </w:p>
    <w:p w14:paraId="1410F673" w14:textId="77777777" w:rsidR="0093413E" w:rsidRDefault="0093413E" w:rsidP="0093413E">
      <w:pPr>
        <w:spacing w:line="480" w:lineRule="auto"/>
        <w:rPr>
          <w:rFonts w:asciiTheme="majorBidi" w:hAnsiTheme="majorBidi" w:cstheme="majorBidi"/>
          <w:sz w:val="24"/>
          <w:szCs w:val="24"/>
        </w:rPr>
      </w:pPr>
    </w:p>
    <w:p w14:paraId="365FCACD" w14:textId="77777777" w:rsidR="0093413E" w:rsidRDefault="0093413E" w:rsidP="0093413E">
      <w:pPr>
        <w:spacing w:line="480" w:lineRule="auto"/>
        <w:rPr>
          <w:rFonts w:asciiTheme="majorBidi" w:hAnsiTheme="majorBidi" w:cstheme="majorBidi"/>
          <w:sz w:val="24"/>
          <w:szCs w:val="24"/>
        </w:rPr>
      </w:pPr>
    </w:p>
    <w:p w14:paraId="0CFCA043" w14:textId="77777777" w:rsidR="0093413E" w:rsidRDefault="0093413E" w:rsidP="0093413E">
      <w:pPr>
        <w:spacing w:line="480" w:lineRule="auto"/>
        <w:rPr>
          <w:rFonts w:asciiTheme="majorBidi" w:hAnsiTheme="majorBidi" w:cstheme="majorBidi"/>
          <w:sz w:val="24"/>
          <w:szCs w:val="24"/>
        </w:rPr>
      </w:pPr>
    </w:p>
    <w:p w14:paraId="65D139C9" w14:textId="77777777" w:rsidR="0093413E" w:rsidRDefault="0093413E" w:rsidP="0093413E">
      <w:pPr>
        <w:spacing w:line="480" w:lineRule="auto"/>
        <w:rPr>
          <w:rFonts w:asciiTheme="majorBidi" w:hAnsiTheme="majorBidi" w:cstheme="majorBidi"/>
          <w:sz w:val="24"/>
          <w:szCs w:val="24"/>
        </w:rPr>
      </w:pPr>
    </w:p>
    <w:p w14:paraId="38D41C0B" w14:textId="77777777" w:rsidR="003E4E16" w:rsidRDefault="003E4E16" w:rsidP="005853BF">
      <w:pPr>
        <w:pStyle w:val="Heading3"/>
        <w:numPr>
          <w:ilvl w:val="0"/>
          <w:numId w:val="34"/>
        </w:numPr>
        <w:rPr>
          <w:rFonts w:asciiTheme="majorBidi" w:hAnsiTheme="majorBidi"/>
          <w:color w:val="auto"/>
          <w:sz w:val="24"/>
          <w:szCs w:val="24"/>
          <w:rtl/>
        </w:rPr>
      </w:pPr>
      <w:r w:rsidRPr="0093413E">
        <w:rPr>
          <w:rFonts w:asciiTheme="majorBidi" w:hAnsiTheme="majorBidi"/>
          <w:color w:val="auto"/>
          <w:sz w:val="24"/>
          <w:szCs w:val="24"/>
        </w:rPr>
        <w:lastRenderedPageBreak/>
        <w:t>Introduction</w:t>
      </w:r>
    </w:p>
    <w:p w14:paraId="762DCBF3" w14:textId="1EAF1615" w:rsidR="00393B17" w:rsidRPr="00393B17" w:rsidRDefault="00393B17" w:rsidP="005853BF">
      <w:pPr>
        <w:pStyle w:val="NormalWeb"/>
        <w:spacing w:before="0" w:beforeAutospacing="0" w:after="0" w:afterAutospacing="0"/>
        <w:jc w:val="both"/>
        <w:rPr>
          <w:rFonts w:asciiTheme="majorBidi" w:hAnsiTheme="majorBidi" w:cstheme="majorBidi"/>
        </w:rPr>
      </w:pPr>
      <w:r w:rsidRPr="00393B17">
        <w:rPr>
          <w:rFonts w:asciiTheme="majorBidi" w:hAnsiTheme="majorBidi" w:cstheme="majorBidi"/>
        </w:rPr>
        <w:t>In the last two decades a growing body of literature emerged to examine the impact of  corporate social responsibility (CSR) on firm’s financial decisions and performance , Most recently CSR  evolved into environmental, social, and governance (ESG) performance measures. CSR have evolved from simple compliance indicators to actual ESG performance measures .</w:t>
      </w:r>
      <w:r w:rsidR="00985181">
        <w:rPr>
          <w:rFonts w:asciiTheme="majorBidi" w:hAnsiTheme="majorBidi" w:cstheme="majorBidi"/>
        </w:rPr>
        <w:t xml:space="preserve"> As ESG </w:t>
      </w:r>
      <w:r w:rsidR="00330891">
        <w:rPr>
          <w:rFonts w:asciiTheme="majorBidi" w:hAnsiTheme="majorBidi" w:cstheme="majorBidi"/>
        </w:rPr>
        <w:t>practices</w:t>
      </w:r>
      <w:r w:rsidR="00985181" w:rsidRPr="00985181">
        <w:t xml:space="preserve"> </w:t>
      </w:r>
      <w:r w:rsidR="00985181">
        <w:t xml:space="preserve">become critical for investors, </w:t>
      </w:r>
      <w:r w:rsidR="005361C7">
        <w:t>stakeholders</w:t>
      </w:r>
      <w:r w:rsidR="00985181">
        <w:t xml:space="preserve">, and </w:t>
      </w:r>
      <w:proofErr w:type="gramStart"/>
      <w:r w:rsidR="00985181">
        <w:t xml:space="preserve">regulators </w:t>
      </w:r>
      <w:r w:rsidR="00330891">
        <w:t>,</w:t>
      </w:r>
      <w:proofErr w:type="gramEnd"/>
      <w:r w:rsidRPr="00393B17">
        <w:rPr>
          <w:rFonts w:asciiTheme="majorBidi" w:hAnsiTheme="majorBidi" w:cstheme="majorBidi"/>
        </w:rPr>
        <w:t xml:space="preserve"> </w:t>
      </w:r>
      <w:r w:rsidR="000761D8">
        <w:t xml:space="preserve">Mangers </w:t>
      </w:r>
      <w:r w:rsidR="00BA6A6C">
        <w:t xml:space="preserve">have </w:t>
      </w:r>
      <w:proofErr w:type="gramStart"/>
      <w:r w:rsidR="00BA6A6C">
        <w:t xml:space="preserve">been </w:t>
      </w:r>
      <w:r w:rsidR="000761D8">
        <w:t xml:space="preserve"> increasingly</w:t>
      </w:r>
      <w:proofErr w:type="gramEnd"/>
      <w:r w:rsidR="000761D8">
        <w:t xml:space="preserve"> </w:t>
      </w:r>
      <w:proofErr w:type="gramStart"/>
      <w:r w:rsidR="00E95A6A">
        <w:t>emphasizes</w:t>
      </w:r>
      <w:proofErr w:type="gramEnd"/>
      <w:r w:rsidR="0072710A">
        <w:t xml:space="preserve"> the </w:t>
      </w:r>
      <w:r w:rsidR="005C0ED2">
        <w:t>implementation</w:t>
      </w:r>
      <w:r w:rsidR="0072710A">
        <w:t xml:space="preserve"> of policies that enhances </w:t>
      </w:r>
      <w:r w:rsidR="000761D8">
        <w:t>ESG practices</w:t>
      </w:r>
      <w:r w:rsidR="0072710A">
        <w:t xml:space="preserve"> in their firms. </w:t>
      </w:r>
    </w:p>
    <w:p w14:paraId="3684FE48" w14:textId="187E71BF" w:rsidR="00F75ECE" w:rsidRPr="00B67CC0" w:rsidRDefault="00F75ECE" w:rsidP="005853BF">
      <w:pPr>
        <w:pStyle w:val="NormalWeb"/>
        <w:spacing w:before="0" w:beforeAutospacing="0" w:after="0" w:afterAutospacing="0"/>
        <w:jc w:val="both"/>
        <w:rPr>
          <w:rFonts w:asciiTheme="majorBidi" w:hAnsiTheme="majorBidi" w:cstheme="majorBidi"/>
        </w:rPr>
      </w:pPr>
      <w:r w:rsidRPr="00B67CC0">
        <w:rPr>
          <w:rFonts w:asciiTheme="majorBidi" w:hAnsiTheme="majorBidi" w:cstheme="majorBidi"/>
        </w:rPr>
        <w:t xml:space="preserve">The analysis of this paper contributes to the broader literature on corporate social responsibility and </w:t>
      </w:r>
      <w:r w:rsidR="00AB5766">
        <w:rPr>
          <w:rFonts w:asciiTheme="majorBidi" w:hAnsiTheme="majorBidi" w:cstheme="majorBidi"/>
        </w:rPr>
        <w:t xml:space="preserve">financial markets by providing empirical evidence that ESG performance plays a crucial role in reducing the </w:t>
      </w:r>
      <w:r w:rsidR="00F553E8">
        <w:rPr>
          <w:rFonts w:asciiTheme="majorBidi" w:hAnsiTheme="majorBidi" w:cstheme="majorBidi"/>
        </w:rPr>
        <w:t>cost of debt</w:t>
      </w:r>
      <w:r w:rsidRPr="00B67CC0">
        <w:rPr>
          <w:rFonts w:asciiTheme="majorBidi" w:hAnsiTheme="majorBidi" w:cstheme="majorBidi"/>
        </w:rPr>
        <w:t xml:space="preserve">. The research approach is unique in three areas. First, the paper examines whether companies with higher ESG ratings experience </w:t>
      </w:r>
      <w:r w:rsidR="0012660C">
        <w:rPr>
          <w:rFonts w:asciiTheme="majorBidi" w:hAnsiTheme="majorBidi" w:cstheme="majorBidi"/>
        </w:rPr>
        <w:t xml:space="preserve">lower </w:t>
      </w:r>
      <w:r w:rsidR="00AB5766">
        <w:rPr>
          <w:rFonts w:asciiTheme="majorBidi" w:hAnsiTheme="majorBidi" w:cstheme="majorBidi"/>
        </w:rPr>
        <w:t>debt costs</w:t>
      </w:r>
      <w:r w:rsidR="00395D88">
        <w:rPr>
          <w:rFonts w:asciiTheme="majorBidi" w:hAnsiTheme="majorBidi" w:cstheme="majorBidi"/>
        </w:rPr>
        <w:t xml:space="preserve">, </w:t>
      </w:r>
      <w:r w:rsidR="0012660C">
        <w:rPr>
          <w:rFonts w:asciiTheme="majorBidi" w:hAnsiTheme="majorBidi" w:cstheme="majorBidi"/>
        </w:rPr>
        <w:t>higher Bond ratings</w:t>
      </w:r>
      <w:r w:rsidR="00395D88">
        <w:rPr>
          <w:rFonts w:asciiTheme="majorBidi" w:hAnsiTheme="majorBidi" w:cstheme="majorBidi"/>
        </w:rPr>
        <w:t>,</w:t>
      </w:r>
      <w:r w:rsidR="0012660C">
        <w:rPr>
          <w:rFonts w:asciiTheme="majorBidi" w:hAnsiTheme="majorBidi" w:cstheme="majorBidi"/>
        </w:rPr>
        <w:t xml:space="preserve"> </w:t>
      </w:r>
      <w:r w:rsidR="00AB5766">
        <w:rPr>
          <w:rFonts w:asciiTheme="majorBidi" w:hAnsiTheme="majorBidi" w:cstheme="majorBidi"/>
        </w:rPr>
        <w:t>and</w:t>
      </w:r>
      <w:r w:rsidR="0012660C">
        <w:rPr>
          <w:rFonts w:asciiTheme="majorBidi" w:hAnsiTheme="majorBidi" w:cstheme="majorBidi"/>
        </w:rPr>
        <w:t xml:space="preserve"> positive reactions to bond </w:t>
      </w:r>
      <w:r w:rsidR="00C50627">
        <w:rPr>
          <w:rFonts w:asciiTheme="majorBidi" w:hAnsiTheme="majorBidi" w:cstheme="majorBidi"/>
        </w:rPr>
        <w:t>offerings</w:t>
      </w:r>
      <w:r w:rsidRPr="00B67CC0">
        <w:rPr>
          <w:rFonts w:asciiTheme="majorBidi" w:hAnsiTheme="majorBidi" w:cstheme="majorBidi"/>
        </w:rPr>
        <w:t xml:space="preserve">. Second, the paper uses the ESG score adjusted for controversies, a measure that controls for adverse news events. Finally, unlike previous research, the paper explores how ESG components (Environmental, Social, and Governance pillars) affect </w:t>
      </w:r>
      <w:r w:rsidR="00395D88">
        <w:rPr>
          <w:rFonts w:asciiTheme="majorBidi" w:hAnsiTheme="majorBidi" w:cstheme="majorBidi"/>
        </w:rPr>
        <w:t>the cost of a new Bond rating and the investor's reaction to the issue announcement</w:t>
      </w:r>
      <w:r w:rsidR="00B2672A">
        <w:rPr>
          <w:rFonts w:asciiTheme="majorBidi" w:hAnsiTheme="majorBidi" w:cstheme="majorBidi"/>
        </w:rPr>
        <w:t xml:space="preserve">.  </w:t>
      </w:r>
      <w:r w:rsidRPr="00B67CC0">
        <w:rPr>
          <w:rFonts w:asciiTheme="majorBidi" w:hAnsiTheme="majorBidi" w:cstheme="majorBidi"/>
        </w:rPr>
        <w:t>, providing practical insights for managers, firms, and investors.</w:t>
      </w:r>
    </w:p>
    <w:p w14:paraId="41327336" w14:textId="7DA0E4A6" w:rsidR="009D7076" w:rsidRPr="009D7076" w:rsidRDefault="00F7131E" w:rsidP="005853BF">
      <w:pPr>
        <w:pStyle w:val="NormalWeb"/>
        <w:spacing w:before="0" w:beforeAutospacing="0" w:after="0" w:afterAutospacing="0"/>
        <w:ind w:firstLine="432"/>
        <w:jc w:val="both"/>
        <w:rPr>
          <w:rFonts w:asciiTheme="majorBidi" w:hAnsiTheme="majorBidi" w:cstheme="majorBidi"/>
          <w:color w:val="FF0000"/>
        </w:rPr>
      </w:pPr>
      <w:r>
        <w:rPr>
          <w:rFonts w:asciiTheme="majorBidi" w:hAnsiTheme="majorBidi" w:cstheme="majorBidi"/>
        </w:rPr>
        <w:t>Using</w:t>
      </w:r>
      <w:r w:rsidR="002233C0" w:rsidRPr="00B67CC0">
        <w:rPr>
          <w:rFonts w:asciiTheme="majorBidi" w:hAnsiTheme="majorBidi" w:cstheme="majorBidi"/>
        </w:rPr>
        <w:t xml:space="preserve"> a </w:t>
      </w:r>
      <w:r w:rsidR="009219B0">
        <w:rPr>
          <w:rFonts w:asciiTheme="majorBidi" w:hAnsiTheme="majorBidi" w:cstheme="majorBidi"/>
        </w:rPr>
        <w:t xml:space="preserve">comprehensive </w:t>
      </w:r>
      <w:r w:rsidR="002233C0" w:rsidRPr="00B67CC0">
        <w:rPr>
          <w:rFonts w:asciiTheme="majorBidi" w:hAnsiTheme="majorBidi" w:cstheme="majorBidi"/>
        </w:rPr>
        <w:t xml:space="preserve">sample of </w:t>
      </w:r>
      <w:r w:rsidR="006D297C">
        <w:rPr>
          <w:rFonts w:asciiTheme="majorBidi" w:hAnsiTheme="majorBidi" w:cstheme="majorBidi"/>
        </w:rPr>
        <w:t xml:space="preserve">8542 </w:t>
      </w:r>
      <w:r w:rsidR="002233C0" w:rsidRPr="00B67CC0">
        <w:rPr>
          <w:rFonts w:asciiTheme="majorBidi" w:hAnsiTheme="majorBidi" w:cstheme="majorBidi"/>
        </w:rPr>
        <w:t xml:space="preserve">U.S. </w:t>
      </w:r>
      <w:r w:rsidR="002233C0">
        <w:rPr>
          <w:rFonts w:asciiTheme="majorBidi" w:hAnsiTheme="majorBidi" w:cstheme="majorBidi"/>
        </w:rPr>
        <w:t>bond</w:t>
      </w:r>
      <w:r w:rsidR="002233C0" w:rsidRPr="00B67CC0">
        <w:rPr>
          <w:rFonts w:asciiTheme="majorBidi" w:hAnsiTheme="majorBidi" w:cstheme="majorBidi"/>
        </w:rPr>
        <w:t xml:space="preserve"> offerings from 200</w:t>
      </w:r>
      <w:r w:rsidR="002233C0">
        <w:rPr>
          <w:rFonts w:asciiTheme="majorBidi" w:hAnsiTheme="majorBidi" w:cstheme="majorBidi"/>
        </w:rPr>
        <w:t>4</w:t>
      </w:r>
      <w:r w:rsidR="002233C0" w:rsidRPr="00B67CC0">
        <w:rPr>
          <w:rFonts w:asciiTheme="majorBidi" w:hAnsiTheme="majorBidi" w:cstheme="majorBidi"/>
        </w:rPr>
        <w:t xml:space="preserve"> to 202</w:t>
      </w:r>
      <w:r w:rsidR="002233C0">
        <w:rPr>
          <w:rFonts w:asciiTheme="majorBidi" w:hAnsiTheme="majorBidi" w:cstheme="majorBidi"/>
        </w:rPr>
        <w:t>2</w:t>
      </w:r>
      <w:r w:rsidR="00A14090">
        <w:rPr>
          <w:rFonts w:asciiTheme="majorBidi" w:hAnsiTheme="majorBidi" w:cstheme="majorBidi"/>
        </w:rPr>
        <w:t xml:space="preserve"> </w:t>
      </w:r>
      <w:r w:rsidR="00904760">
        <w:rPr>
          <w:rFonts w:asciiTheme="majorBidi" w:hAnsiTheme="majorBidi" w:cstheme="majorBidi"/>
        </w:rPr>
        <w:t xml:space="preserve">this paper </w:t>
      </w:r>
      <w:r w:rsidR="009D7076" w:rsidRPr="009D7076">
        <w:rPr>
          <w:rFonts w:asciiTheme="majorBidi" w:hAnsiTheme="majorBidi" w:cstheme="majorBidi"/>
          <w:color w:val="FF0000"/>
        </w:rPr>
        <w:t xml:space="preserve"> findings show that firms with higher overall ESG, </w:t>
      </w:r>
      <w:r w:rsidR="007B711D" w:rsidRPr="00B67CC0">
        <w:rPr>
          <w:rFonts w:asciiTheme="majorBidi" w:hAnsiTheme="majorBidi" w:cstheme="majorBidi"/>
        </w:rPr>
        <w:t>Environmental, Social, and Governance</w:t>
      </w:r>
      <w:r w:rsidR="009D7076" w:rsidRPr="009D7076">
        <w:rPr>
          <w:rFonts w:asciiTheme="majorBidi" w:hAnsiTheme="majorBidi" w:cstheme="majorBidi"/>
          <w:color w:val="FF0000"/>
        </w:rPr>
        <w:t xml:space="preserve"> scores experience significantly</w:t>
      </w:r>
      <w:r w:rsidR="00A14090">
        <w:rPr>
          <w:rFonts w:asciiTheme="majorBidi" w:hAnsiTheme="majorBidi" w:cstheme="majorBidi"/>
          <w:color w:val="FF0000"/>
        </w:rPr>
        <w:t xml:space="preserve"> </w:t>
      </w:r>
      <w:r w:rsidR="007B711D">
        <w:rPr>
          <w:rFonts w:asciiTheme="majorBidi" w:hAnsiTheme="majorBidi" w:cstheme="majorBidi"/>
          <w:color w:val="FF0000"/>
        </w:rPr>
        <w:t>lower</w:t>
      </w:r>
      <w:r w:rsidR="00A14090">
        <w:rPr>
          <w:rFonts w:asciiTheme="majorBidi" w:hAnsiTheme="majorBidi" w:cstheme="majorBidi"/>
          <w:color w:val="FF0000"/>
        </w:rPr>
        <w:t xml:space="preserve"> cost of debt, higher bond ratings</w:t>
      </w:r>
      <w:r w:rsidR="009D7076" w:rsidRPr="009D7076">
        <w:rPr>
          <w:rFonts w:asciiTheme="majorBidi" w:hAnsiTheme="majorBidi" w:cstheme="majorBidi"/>
          <w:color w:val="FF0000"/>
        </w:rPr>
        <w:t xml:space="preserve"> </w:t>
      </w:r>
      <w:r w:rsidR="00A14090">
        <w:rPr>
          <w:rFonts w:asciiTheme="majorBidi" w:hAnsiTheme="majorBidi" w:cstheme="majorBidi"/>
          <w:color w:val="FF0000"/>
        </w:rPr>
        <w:t xml:space="preserve">and </w:t>
      </w:r>
      <w:r w:rsidR="009D7076" w:rsidRPr="009D7076">
        <w:rPr>
          <w:rFonts w:asciiTheme="majorBidi" w:hAnsiTheme="majorBidi" w:cstheme="majorBidi"/>
          <w:color w:val="FF0000"/>
        </w:rPr>
        <w:t xml:space="preserve">lower adverse market reactions to </w:t>
      </w:r>
      <w:r w:rsidR="004C78A8">
        <w:rPr>
          <w:rFonts w:asciiTheme="majorBidi" w:hAnsiTheme="majorBidi" w:cstheme="majorBidi"/>
          <w:color w:val="FF0000"/>
        </w:rPr>
        <w:t xml:space="preserve">bonds offering </w:t>
      </w:r>
      <w:r w:rsidR="009D7076" w:rsidRPr="009D7076">
        <w:rPr>
          <w:rFonts w:asciiTheme="majorBidi" w:hAnsiTheme="majorBidi" w:cstheme="majorBidi"/>
          <w:color w:val="FF0000"/>
        </w:rPr>
        <w:t xml:space="preserve">. In summary, this paper provides strong empirical evidence that high ESG performance </w:t>
      </w:r>
      <w:r w:rsidR="00BE6DB1">
        <w:rPr>
          <w:rFonts w:asciiTheme="majorBidi" w:hAnsiTheme="majorBidi" w:cstheme="majorBidi"/>
          <w:color w:val="FF0000"/>
        </w:rPr>
        <w:t>lowers</w:t>
      </w:r>
      <w:r w:rsidR="00124A52">
        <w:rPr>
          <w:rFonts w:asciiTheme="majorBidi" w:hAnsiTheme="majorBidi" w:cstheme="majorBidi"/>
          <w:color w:val="FF0000"/>
        </w:rPr>
        <w:t xml:space="preserve"> the cost of borrowing</w:t>
      </w:r>
      <w:r w:rsidR="00BE6DB1">
        <w:rPr>
          <w:rFonts w:asciiTheme="majorBidi" w:hAnsiTheme="majorBidi" w:cstheme="majorBidi"/>
          <w:color w:val="FF0000"/>
        </w:rPr>
        <w:t xml:space="preserve"> </w:t>
      </w:r>
      <w:r w:rsidR="006D297C">
        <w:rPr>
          <w:rFonts w:asciiTheme="majorBidi" w:hAnsiTheme="majorBidi" w:cstheme="majorBidi"/>
          <w:color w:val="FF0000"/>
        </w:rPr>
        <w:t>because</w:t>
      </w:r>
      <w:r w:rsidR="00BE6DB1">
        <w:rPr>
          <w:rFonts w:asciiTheme="majorBidi" w:hAnsiTheme="majorBidi" w:cstheme="majorBidi"/>
          <w:color w:val="FF0000"/>
        </w:rPr>
        <w:t xml:space="preserve"> the market </w:t>
      </w:r>
      <w:r w:rsidR="00BE6DB1">
        <w:t>perceive</w:t>
      </w:r>
      <w:r w:rsidR="00A81050">
        <w:t>s</w:t>
      </w:r>
      <w:r w:rsidR="00BE6DB1">
        <w:t xml:space="preserve"> ESG-committed firms as lower-risk borrowers</w:t>
      </w:r>
      <w:r w:rsidR="00124A52">
        <w:rPr>
          <w:rFonts w:asciiTheme="majorBidi" w:hAnsiTheme="majorBidi" w:cstheme="majorBidi"/>
          <w:color w:val="FF0000"/>
        </w:rPr>
        <w:t xml:space="preserve"> </w:t>
      </w:r>
      <w:r w:rsidR="00CE1E03">
        <w:rPr>
          <w:rFonts w:asciiTheme="majorBidi" w:hAnsiTheme="majorBidi" w:cstheme="majorBidi"/>
          <w:color w:val="FF0000"/>
        </w:rPr>
        <w:t>.</w:t>
      </w:r>
      <w:r w:rsidR="009D7076" w:rsidRPr="009D7076">
        <w:rPr>
          <w:rFonts w:asciiTheme="majorBidi" w:hAnsiTheme="majorBidi" w:cstheme="majorBidi"/>
          <w:color w:val="FF0000"/>
        </w:rPr>
        <w:t xml:space="preserve"> </w:t>
      </w:r>
    </w:p>
    <w:p w14:paraId="123F439E" w14:textId="37758F3D" w:rsidR="002233C0" w:rsidRPr="00B67CC0" w:rsidRDefault="002233C0" w:rsidP="005853BF">
      <w:pPr>
        <w:pStyle w:val="NormalWeb"/>
        <w:spacing w:before="0" w:beforeAutospacing="0" w:after="0" w:afterAutospacing="0"/>
        <w:ind w:firstLine="432"/>
        <w:jc w:val="both"/>
        <w:rPr>
          <w:rFonts w:asciiTheme="majorBidi" w:hAnsiTheme="majorBidi" w:cstheme="majorBidi"/>
        </w:rPr>
      </w:pPr>
      <w:r w:rsidRPr="00B67CC0">
        <w:rPr>
          <w:rFonts w:asciiTheme="majorBidi" w:hAnsiTheme="majorBidi" w:cstheme="majorBidi"/>
        </w:rPr>
        <w:t xml:space="preserve">The rest of this paper proceeds as follows. Section 2 presents </w:t>
      </w:r>
      <w:proofErr w:type="gramStart"/>
      <w:r w:rsidRPr="00B67CC0">
        <w:rPr>
          <w:rFonts w:asciiTheme="majorBidi" w:hAnsiTheme="majorBidi" w:cstheme="majorBidi"/>
        </w:rPr>
        <w:t>the</w:t>
      </w:r>
      <w:r w:rsidR="00152AFD" w:rsidRPr="00152AFD">
        <w:rPr>
          <w:rFonts w:asciiTheme="majorBidi" w:hAnsiTheme="majorBidi" w:cstheme="majorBidi"/>
        </w:rPr>
        <w:t xml:space="preserve"> ESG</w:t>
      </w:r>
      <w:proofErr w:type="gramEnd"/>
      <w:r w:rsidR="00152AFD" w:rsidRPr="00152AFD">
        <w:rPr>
          <w:rFonts w:asciiTheme="majorBidi" w:hAnsiTheme="majorBidi" w:cstheme="majorBidi"/>
        </w:rPr>
        <w:t xml:space="preserve"> literature and hypotheses </w:t>
      </w:r>
      <w:proofErr w:type="gramStart"/>
      <w:r w:rsidR="00152AFD" w:rsidRPr="00152AFD">
        <w:rPr>
          <w:rFonts w:asciiTheme="majorBidi" w:hAnsiTheme="majorBidi" w:cstheme="majorBidi"/>
        </w:rPr>
        <w:t>development</w:t>
      </w:r>
      <w:r w:rsidR="00152AFD">
        <w:rPr>
          <w:rFonts w:asciiTheme="majorBidi" w:hAnsiTheme="majorBidi" w:cstheme="majorBidi"/>
        </w:rPr>
        <w:t xml:space="preserve"> </w:t>
      </w:r>
      <w:r w:rsidRPr="00B67CC0">
        <w:rPr>
          <w:rFonts w:asciiTheme="majorBidi" w:hAnsiTheme="majorBidi" w:cstheme="majorBidi"/>
        </w:rPr>
        <w:t>.</w:t>
      </w:r>
      <w:proofErr w:type="gramEnd"/>
      <w:r w:rsidRPr="00B67CC0">
        <w:rPr>
          <w:rFonts w:asciiTheme="majorBidi" w:hAnsiTheme="majorBidi" w:cstheme="majorBidi"/>
        </w:rPr>
        <w:t xml:space="preserve"> Section 3 presents  the sample </w:t>
      </w:r>
      <w:r w:rsidR="00E600F7">
        <w:rPr>
          <w:rFonts w:asciiTheme="majorBidi" w:hAnsiTheme="majorBidi" w:cstheme="majorBidi"/>
        </w:rPr>
        <w:t xml:space="preserve">and </w:t>
      </w:r>
      <w:r w:rsidR="00E66024">
        <w:rPr>
          <w:rFonts w:asciiTheme="majorBidi" w:hAnsiTheme="majorBidi" w:cstheme="majorBidi"/>
        </w:rPr>
        <w:t>Methodology</w:t>
      </w:r>
      <w:r w:rsidRPr="00B67CC0">
        <w:rPr>
          <w:rFonts w:asciiTheme="majorBidi" w:hAnsiTheme="majorBidi" w:cstheme="majorBidi"/>
        </w:rPr>
        <w:t xml:space="preserve">. Section 4 presents the paper's </w:t>
      </w:r>
      <w:r w:rsidR="00394BAB">
        <w:rPr>
          <w:rFonts w:asciiTheme="majorBidi" w:hAnsiTheme="majorBidi" w:cstheme="majorBidi"/>
        </w:rPr>
        <w:t>empirical</w:t>
      </w:r>
      <w:r w:rsidR="00E66024">
        <w:rPr>
          <w:rFonts w:asciiTheme="majorBidi" w:hAnsiTheme="majorBidi" w:cstheme="majorBidi"/>
        </w:rPr>
        <w:t xml:space="preserve"> results</w:t>
      </w:r>
      <w:r w:rsidRPr="00B67CC0">
        <w:rPr>
          <w:rFonts w:asciiTheme="majorBidi" w:hAnsiTheme="majorBidi" w:cstheme="majorBidi"/>
        </w:rPr>
        <w:t xml:space="preserve">. Section 5 concludes the paper. </w:t>
      </w:r>
    </w:p>
    <w:p w14:paraId="3915BEA3" w14:textId="77777777" w:rsidR="002233C0" w:rsidRPr="00F75ECE" w:rsidRDefault="002233C0" w:rsidP="005853BF"/>
    <w:p w14:paraId="59083BFA" w14:textId="34980472" w:rsidR="00FE0956" w:rsidRPr="0093413E" w:rsidRDefault="00E858B9" w:rsidP="005853BF">
      <w:pPr>
        <w:pStyle w:val="Heading3"/>
        <w:numPr>
          <w:ilvl w:val="0"/>
          <w:numId w:val="34"/>
        </w:numPr>
        <w:ind w:left="450"/>
        <w:rPr>
          <w:rFonts w:asciiTheme="majorBidi" w:hAnsiTheme="majorBidi"/>
          <w:color w:val="auto"/>
          <w:sz w:val="24"/>
          <w:szCs w:val="24"/>
        </w:rPr>
      </w:pPr>
      <w:r w:rsidRPr="0093413E">
        <w:rPr>
          <w:rFonts w:asciiTheme="majorBidi" w:hAnsiTheme="majorBidi"/>
          <w:color w:val="auto"/>
          <w:sz w:val="24"/>
          <w:szCs w:val="24"/>
        </w:rPr>
        <w:t>ESG literature</w:t>
      </w:r>
      <w:r w:rsidR="00FE0956" w:rsidRPr="0093413E">
        <w:rPr>
          <w:rFonts w:asciiTheme="majorBidi" w:hAnsiTheme="majorBidi"/>
          <w:color w:val="auto"/>
          <w:sz w:val="24"/>
          <w:szCs w:val="24"/>
        </w:rPr>
        <w:t xml:space="preserve"> and hypotheses development</w:t>
      </w:r>
    </w:p>
    <w:p w14:paraId="18807B57" w14:textId="2474C859" w:rsidR="003F3645" w:rsidRPr="0093413E" w:rsidRDefault="00E85383" w:rsidP="005853BF">
      <w:pPr>
        <w:jc w:val="both"/>
        <w:rPr>
          <w:rFonts w:asciiTheme="majorBidi" w:hAnsiTheme="majorBidi" w:cstheme="majorBidi"/>
          <w:sz w:val="24"/>
          <w:szCs w:val="24"/>
        </w:rPr>
      </w:pPr>
      <w:r>
        <w:rPr>
          <w:rFonts w:asciiTheme="majorBidi" w:hAnsiTheme="majorBidi" w:cstheme="majorBidi"/>
          <w:sz w:val="24"/>
          <w:szCs w:val="24"/>
        </w:rPr>
        <w:t xml:space="preserve">In the last two </w:t>
      </w:r>
      <w:r w:rsidR="004A4C8B">
        <w:rPr>
          <w:rFonts w:asciiTheme="majorBidi" w:hAnsiTheme="majorBidi" w:cstheme="majorBidi"/>
          <w:sz w:val="24"/>
          <w:szCs w:val="24"/>
        </w:rPr>
        <w:t>decades</w:t>
      </w:r>
      <w:r w:rsidR="00B90355">
        <w:rPr>
          <w:rFonts w:asciiTheme="majorBidi" w:hAnsiTheme="majorBidi" w:cstheme="majorBidi"/>
          <w:sz w:val="24"/>
          <w:szCs w:val="24"/>
        </w:rPr>
        <w:t>,</w:t>
      </w:r>
      <w:r>
        <w:rPr>
          <w:rFonts w:asciiTheme="majorBidi" w:hAnsiTheme="majorBidi" w:cstheme="majorBidi"/>
          <w:sz w:val="24"/>
          <w:szCs w:val="24"/>
        </w:rPr>
        <w:t xml:space="preserve"> a </w:t>
      </w:r>
      <w:r w:rsidR="00742497">
        <w:t xml:space="preserve">growing body of literature </w:t>
      </w:r>
      <w:r w:rsidR="004A4C8B">
        <w:t>emerged</w:t>
      </w:r>
      <w:r w:rsidR="00742497">
        <w:t xml:space="preserve"> to </w:t>
      </w:r>
      <w:r w:rsidR="004A4C8B">
        <w:t>examine</w:t>
      </w:r>
      <w:r w:rsidR="00742497">
        <w:t xml:space="preserve"> the </w:t>
      </w:r>
      <w:r w:rsidR="004A4C8B">
        <w:t>impact</w:t>
      </w:r>
      <w:r w:rsidR="00742497">
        <w:t xml:space="preserve"> of </w:t>
      </w:r>
      <w:r w:rsidR="002C3E93">
        <w:t xml:space="preserve"> corporate</w:t>
      </w:r>
      <w:r w:rsidR="00D439A6">
        <w:t xml:space="preserve"> social responsibility</w:t>
      </w:r>
      <w:r w:rsidR="00C71AA5">
        <w:t xml:space="preserve"> (CSR)</w:t>
      </w:r>
      <w:r w:rsidR="00D439A6">
        <w:t xml:space="preserve"> on </w:t>
      </w:r>
      <w:r w:rsidR="004B1A7B">
        <w:t>firm’s</w:t>
      </w:r>
      <w:r w:rsidR="00D439A6">
        <w:t xml:space="preserve"> </w:t>
      </w:r>
      <w:r w:rsidR="004B1A7B">
        <w:t>financial</w:t>
      </w:r>
      <w:r w:rsidR="00D439A6">
        <w:t xml:space="preserve"> </w:t>
      </w:r>
      <w:r w:rsidR="005B35B5">
        <w:t xml:space="preserve">decisions and </w:t>
      </w:r>
      <w:r w:rsidR="004B1A7B">
        <w:t>performance</w:t>
      </w:r>
      <w:r w:rsidR="005B35B5">
        <w:t xml:space="preserve"> </w:t>
      </w:r>
      <w:r w:rsidR="00213239">
        <w:t>.</w:t>
      </w:r>
      <w:r w:rsidR="005B35B5">
        <w:t xml:space="preserve"> Most </w:t>
      </w:r>
      <w:r w:rsidR="004B1A7B">
        <w:t>recently</w:t>
      </w:r>
      <w:r w:rsidR="005B35B5">
        <w:t xml:space="preserve"> </w:t>
      </w:r>
      <w:r w:rsidR="00C71AA5">
        <w:t>CSR</w:t>
      </w:r>
      <w:r w:rsidR="00C71AA5" w:rsidRPr="00B67CC0">
        <w:rPr>
          <w:rFonts w:asciiTheme="majorBidi" w:hAnsiTheme="majorBidi" w:cstheme="majorBidi"/>
        </w:rPr>
        <w:t xml:space="preserve"> </w:t>
      </w:r>
      <w:r w:rsidR="00C71AA5">
        <w:rPr>
          <w:rFonts w:asciiTheme="majorBidi" w:hAnsiTheme="majorBidi" w:cstheme="majorBidi"/>
        </w:rPr>
        <w:t xml:space="preserve"> </w:t>
      </w:r>
      <w:r w:rsidR="004B1A7B">
        <w:rPr>
          <w:rFonts w:asciiTheme="majorBidi" w:hAnsiTheme="majorBidi" w:cstheme="majorBidi"/>
        </w:rPr>
        <w:t>evolved</w:t>
      </w:r>
      <w:r w:rsidR="00C71AA5">
        <w:rPr>
          <w:rFonts w:asciiTheme="majorBidi" w:hAnsiTheme="majorBidi" w:cstheme="majorBidi"/>
        </w:rPr>
        <w:t xml:space="preserve"> into </w:t>
      </w:r>
      <w:r w:rsidR="001767C7" w:rsidRPr="00B67CC0">
        <w:rPr>
          <w:rFonts w:asciiTheme="majorBidi" w:hAnsiTheme="majorBidi" w:cstheme="majorBidi"/>
        </w:rPr>
        <w:t>environmental</w:t>
      </w:r>
      <w:r w:rsidR="00592BE5" w:rsidRPr="00B67CC0">
        <w:rPr>
          <w:rFonts w:asciiTheme="majorBidi" w:hAnsiTheme="majorBidi" w:cstheme="majorBidi"/>
        </w:rPr>
        <w:t xml:space="preserve">, social, and governance (ESG) </w:t>
      </w:r>
      <w:r w:rsidR="001767C7">
        <w:rPr>
          <w:rFonts w:asciiTheme="majorBidi" w:hAnsiTheme="majorBidi" w:cstheme="majorBidi"/>
        </w:rPr>
        <w:t>performance</w:t>
      </w:r>
      <w:r w:rsidR="00C71AA5">
        <w:rPr>
          <w:rFonts w:asciiTheme="majorBidi" w:hAnsiTheme="majorBidi" w:cstheme="majorBidi"/>
        </w:rPr>
        <w:t xml:space="preserve"> measures. </w:t>
      </w:r>
      <w:r w:rsidR="002B563A">
        <w:t>Unlike traditional CSR measures ESG</w:t>
      </w:r>
      <w:r w:rsidR="00865A11">
        <w:t xml:space="preserve"> have evolved from simple compliance indicators to </w:t>
      </w:r>
      <w:r w:rsidR="001767C7">
        <w:t>actual</w:t>
      </w:r>
      <w:r w:rsidR="00865A11">
        <w:t xml:space="preserve"> </w:t>
      </w:r>
      <w:r w:rsidR="001767C7" w:rsidRPr="00B67CC0">
        <w:rPr>
          <w:rFonts w:asciiTheme="majorBidi" w:hAnsiTheme="majorBidi" w:cstheme="majorBidi"/>
        </w:rPr>
        <w:t>ESG</w:t>
      </w:r>
      <w:r w:rsidR="001767C7">
        <w:t xml:space="preserve"> </w:t>
      </w:r>
      <w:r w:rsidR="00865A11">
        <w:t>performance measures</w:t>
      </w:r>
      <w:r w:rsidR="002C3E93">
        <w:rPr>
          <w:rFonts w:asciiTheme="majorBidi" w:hAnsiTheme="majorBidi" w:cstheme="majorBidi"/>
        </w:rPr>
        <w:t xml:space="preserve"> </w:t>
      </w:r>
      <w:r w:rsidR="00865A11">
        <w:rPr>
          <w:rFonts w:asciiTheme="majorBidi" w:hAnsiTheme="majorBidi" w:cstheme="majorBidi"/>
        </w:rPr>
        <w:t xml:space="preserve">. </w:t>
      </w:r>
    </w:p>
    <w:p w14:paraId="0C8A9DB4" w14:textId="62648681" w:rsidR="005F17B1" w:rsidRDefault="005C0FB1" w:rsidP="005853BF">
      <w:pPr>
        <w:jc w:val="both"/>
        <w:rPr>
          <w:rFonts w:asciiTheme="majorBidi" w:hAnsiTheme="majorBidi" w:cstheme="majorBidi"/>
          <w:sz w:val="24"/>
          <w:szCs w:val="24"/>
        </w:rPr>
      </w:pPr>
      <w:r>
        <w:t xml:space="preserve">Several theories </w:t>
      </w:r>
      <w:r w:rsidR="00F53A62">
        <w:t>explain</w:t>
      </w:r>
      <w:r>
        <w:t xml:space="preserve"> the potential impact of ESG performance on a firm’s financial </w:t>
      </w:r>
      <w:r w:rsidR="00F53A62">
        <w:t xml:space="preserve">decisions. </w:t>
      </w:r>
      <w:r w:rsidR="005F17B1">
        <w:t xml:space="preserve">Stakeholder theory (Freeman, 1984) predicts that firms engaged in better ESG practices work on addressing the stakeholders </w:t>
      </w:r>
      <w:r w:rsidR="00E32CB0">
        <w:t xml:space="preserve">diverse </w:t>
      </w:r>
      <w:r w:rsidR="005F17B1">
        <w:t xml:space="preserve">needs and interests , thus reducing Managers Stakeholder conflicts which leads to lower operational risks and credit risk. Oikonomou, Brooks, &amp; </w:t>
      </w:r>
      <w:proofErr w:type="spellStart"/>
      <w:r w:rsidR="005F17B1">
        <w:t>Pavelin</w:t>
      </w:r>
      <w:proofErr w:type="spellEnd"/>
      <w:r w:rsidR="005F17B1">
        <w:t>, 2014 shows that firms with better CRS score may lower their financing costs across different financing instruments.  According to signaling theory firms with a better ESG performance signal to the market that they have a better governance, higher transparency, and a better commitment to sustainable practices (Spence, 1973) . With</w:t>
      </w:r>
      <w:r w:rsidR="00AE176C">
        <w:t>in</w:t>
      </w:r>
      <w:r w:rsidR="005F17B1">
        <w:t xml:space="preserve"> the Risk mitigation theory (</w:t>
      </w:r>
      <w:proofErr w:type="spellStart"/>
      <w:r w:rsidR="005F17B1">
        <w:t>Orlitzky</w:t>
      </w:r>
      <w:proofErr w:type="spellEnd"/>
      <w:r w:rsidR="005F17B1">
        <w:t xml:space="preserve"> &amp; Benjamin, 2001) frame work, better ESG practices lower </w:t>
      </w:r>
      <w:r w:rsidR="00AE176C">
        <w:t>firm’s</w:t>
      </w:r>
      <w:r w:rsidR="005F17B1">
        <w:t xml:space="preserve"> regulations, reputation, and operations risks.  On the other </w:t>
      </w:r>
      <w:proofErr w:type="gramStart"/>
      <w:r w:rsidR="005F17B1">
        <w:t>hand ,</w:t>
      </w:r>
      <w:proofErr w:type="gramEnd"/>
      <w:r w:rsidR="005F17B1">
        <w:t xml:space="preserve"> Agency theory (Jensen &amp; Meckling, 1976) predicts that strong ESG performance scores reduce agency costs by aligning shareholders and creditors with </w:t>
      </w:r>
      <w:proofErr w:type="gramStart"/>
      <w:r w:rsidR="005F17B1">
        <w:t>mangers</w:t>
      </w:r>
      <w:proofErr w:type="gramEnd"/>
      <w:r w:rsidR="005F17B1">
        <w:t xml:space="preserve"> interests</w:t>
      </w:r>
      <w:proofErr w:type="gramStart"/>
      <w:r w:rsidR="005F17B1">
        <w:t xml:space="preserve"> Under</w:t>
      </w:r>
      <w:proofErr w:type="gramEnd"/>
      <w:r w:rsidR="005F17B1">
        <w:t xml:space="preserve"> this theory, firms with high EGS score</w:t>
      </w:r>
      <w:r w:rsidR="00117477">
        <w:t>s</w:t>
      </w:r>
      <w:r w:rsidR="005F17B1">
        <w:t xml:space="preserve"> reduce </w:t>
      </w:r>
      <w:proofErr w:type="gramStart"/>
      <w:r w:rsidR="005F17B1">
        <w:t>the  information</w:t>
      </w:r>
      <w:proofErr w:type="gramEnd"/>
      <w:r w:rsidR="005F17B1">
        <w:t xml:space="preserve"> asymmetry about the firm’s ability to meet debt obligations.  </w:t>
      </w:r>
    </w:p>
    <w:p w14:paraId="304CB253" w14:textId="77777777" w:rsidR="001F0525" w:rsidRDefault="001C0AF0" w:rsidP="005853BF">
      <w:pPr>
        <w:jc w:val="both"/>
        <w:rPr>
          <w:rFonts w:asciiTheme="majorBidi" w:hAnsiTheme="majorBidi" w:cstheme="majorBidi"/>
        </w:rPr>
      </w:pPr>
      <w:r>
        <w:t xml:space="preserve">The literature reveals some mixed results on the </w:t>
      </w:r>
      <w:r w:rsidR="004F11E4">
        <w:t>impact</w:t>
      </w:r>
      <w:r>
        <w:t xml:space="preserve"> of ESG on the cost of Debt. </w:t>
      </w:r>
      <w:r w:rsidR="004F11E4">
        <w:t>Some</w:t>
      </w:r>
      <w:r>
        <w:t xml:space="preserve"> studies find </w:t>
      </w:r>
      <w:r w:rsidR="004F11E4">
        <w:t xml:space="preserve">that better ESG </w:t>
      </w:r>
      <w:r w:rsidR="006E771C">
        <w:t xml:space="preserve">performance </w:t>
      </w:r>
      <w:r w:rsidR="00FB72A2">
        <w:t xml:space="preserve">reduce the cost of </w:t>
      </w:r>
      <w:r w:rsidR="003518E7">
        <w:t xml:space="preserve"> Debt</w:t>
      </w:r>
      <w:r>
        <w:t xml:space="preserve">, others suggest that these benefits may vary depending on </w:t>
      </w:r>
      <w:r w:rsidR="003518E7">
        <w:t xml:space="preserve">the </w:t>
      </w:r>
      <w:r>
        <w:t xml:space="preserve">industry or </w:t>
      </w:r>
      <w:r w:rsidR="003518E7">
        <w:t>other factors</w:t>
      </w:r>
      <w:r>
        <w:t>.</w:t>
      </w:r>
      <w:r w:rsidR="006641D5">
        <w:t xml:space="preserve"> </w:t>
      </w:r>
      <w:r w:rsidR="00EC43FC">
        <w:t xml:space="preserve"> Chava, 2014; Polbennikov et al., 2016 suggested that the </w:t>
      </w:r>
      <w:r w:rsidR="004606D2">
        <w:t>creditors</w:t>
      </w:r>
      <w:r w:rsidR="00EC43FC">
        <w:t xml:space="preserve"> </w:t>
      </w:r>
      <w:r w:rsidR="00E46264">
        <w:t>perceive</w:t>
      </w:r>
      <w:r w:rsidR="00EC43FC">
        <w:t xml:space="preserve"> </w:t>
      </w:r>
      <w:r w:rsidR="001771B5">
        <w:t>firms</w:t>
      </w:r>
      <w:r w:rsidR="00EC43FC">
        <w:t xml:space="preserve"> with </w:t>
      </w:r>
      <w:r w:rsidR="001771B5">
        <w:t>high</w:t>
      </w:r>
      <w:r w:rsidR="00E577AB">
        <w:t xml:space="preserve"> </w:t>
      </w:r>
      <w:r w:rsidR="001771B5">
        <w:t>ESG performance</w:t>
      </w:r>
      <w:r w:rsidR="00E577AB">
        <w:t xml:space="preserve"> </w:t>
      </w:r>
      <w:r w:rsidR="00EC43FC">
        <w:t xml:space="preserve"> </w:t>
      </w:r>
      <w:r w:rsidR="00E46264">
        <w:t xml:space="preserve">as a low </w:t>
      </w:r>
      <w:r w:rsidR="004606D2">
        <w:t>credit</w:t>
      </w:r>
      <w:r w:rsidR="00E46264">
        <w:t xml:space="preserve"> ri</w:t>
      </w:r>
      <w:r w:rsidR="004606D2">
        <w:t>s</w:t>
      </w:r>
      <w:r w:rsidR="00E46264">
        <w:t xml:space="preserve">k </w:t>
      </w:r>
      <w:r w:rsidR="00F20299">
        <w:t>borrower</w:t>
      </w:r>
      <w:r w:rsidR="00FD2EC2">
        <w:t xml:space="preserve"> because ESG</w:t>
      </w:r>
      <w:r w:rsidR="00204E8F">
        <w:t xml:space="preserve"> </w:t>
      </w:r>
      <w:r w:rsidR="00F20299">
        <w:t xml:space="preserve"> </w:t>
      </w:r>
      <w:r w:rsidR="00FD2EC2">
        <w:t xml:space="preserve">practices </w:t>
      </w:r>
      <w:r w:rsidR="003570F9">
        <w:t xml:space="preserve">improve operational </w:t>
      </w:r>
      <w:r w:rsidR="003570F9">
        <w:lastRenderedPageBreak/>
        <w:t xml:space="preserve">efficiency, </w:t>
      </w:r>
      <w:r w:rsidR="00A41BAE">
        <w:t xml:space="preserve">firm’s </w:t>
      </w:r>
      <w:r w:rsidR="003570F9">
        <w:t>reputation</w:t>
      </w:r>
      <w:r w:rsidR="00A41BAE">
        <w:t xml:space="preserve"> and align </w:t>
      </w:r>
      <w:r w:rsidR="003A3654">
        <w:t>firm</w:t>
      </w:r>
      <w:r w:rsidR="00FE4D51">
        <w:t xml:space="preserve"> with</w:t>
      </w:r>
      <w:r w:rsidR="003A3654">
        <w:t xml:space="preserve"> regulatory expectations</w:t>
      </w:r>
      <w:r w:rsidR="00505B85" w:rsidRPr="00505B85">
        <w:t xml:space="preserve"> </w:t>
      </w:r>
      <w:r w:rsidR="00505B85">
        <w:t>(Jiang, 2008; Li &amp; Xie, 2014)</w:t>
      </w:r>
      <w:r w:rsidR="005A54BD">
        <w:t>.</w:t>
      </w:r>
      <w:r w:rsidR="003C52F7">
        <w:t xml:space="preserve"> Ferrell, Liang, &amp; </w:t>
      </w:r>
      <w:proofErr w:type="spellStart"/>
      <w:r w:rsidR="003C52F7">
        <w:t>Renneboog</w:t>
      </w:r>
      <w:proofErr w:type="spellEnd"/>
      <w:r w:rsidR="003C52F7">
        <w:t xml:space="preserve">, 2016 </w:t>
      </w:r>
      <w:r w:rsidR="008D5877">
        <w:t>find</w:t>
      </w:r>
      <w:r w:rsidR="003C52F7">
        <w:t xml:space="preserve"> that Socially responsible companies may lower it</w:t>
      </w:r>
      <w:r w:rsidR="006C6CAC">
        <w:t xml:space="preserve"> risk by </w:t>
      </w:r>
      <w:r w:rsidR="00386081">
        <w:t>improving</w:t>
      </w:r>
      <w:r w:rsidR="006C6CAC">
        <w:t xml:space="preserve"> employee morale</w:t>
      </w:r>
      <w:r w:rsidR="00430929">
        <w:t xml:space="preserve"> </w:t>
      </w:r>
      <w:r w:rsidR="00E15C74">
        <w:t xml:space="preserve">, stakeholder satisfaction, </w:t>
      </w:r>
      <w:r w:rsidR="00430929">
        <w:t>and</w:t>
      </w:r>
      <w:r w:rsidR="006C6CAC">
        <w:t xml:space="preserve"> </w:t>
      </w:r>
      <w:r w:rsidR="00E25CED">
        <w:t>customers</w:t>
      </w:r>
      <w:r w:rsidR="006C6CAC">
        <w:t xml:space="preserve"> loyalty</w:t>
      </w:r>
      <w:r w:rsidR="00E25CED">
        <w:t>.</w:t>
      </w:r>
      <w:r w:rsidR="008D5877" w:rsidRPr="008D5877">
        <w:t xml:space="preserve"> </w:t>
      </w:r>
      <w:r w:rsidR="008D5877">
        <w:t>Environmental performance</w:t>
      </w:r>
      <w:r w:rsidR="00424462">
        <w:t xml:space="preserve"> </w:t>
      </w:r>
      <w:r w:rsidR="00430929">
        <w:t xml:space="preserve"> </w:t>
      </w:r>
      <w:r w:rsidR="008D5877">
        <w:t xml:space="preserve">impact </w:t>
      </w:r>
      <w:r w:rsidR="004917A4">
        <w:t xml:space="preserve">Debt Costs </w:t>
      </w:r>
      <w:r w:rsidR="004734EF">
        <w:t xml:space="preserve">via </w:t>
      </w:r>
      <w:r w:rsidR="00C8239C">
        <w:t xml:space="preserve">appealing to </w:t>
      </w:r>
      <w:r w:rsidR="003C2463">
        <w:t>investors</w:t>
      </w:r>
      <w:r w:rsidR="00C8239C">
        <w:t xml:space="preserve"> who have sustainability </w:t>
      </w:r>
      <w:r w:rsidR="003C2463">
        <w:t xml:space="preserve">preferences. </w:t>
      </w:r>
      <w:r w:rsidR="001D74C3">
        <w:t xml:space="preserve"> </w:t>
      </w:r>
      <w:r w:rsidR="0095391C">
        <w:t xml:space="preserve">Governance performance </w:t>
      </w:r>
      <w:r w:rsidR="001C1227">
        <w:t xml:space="preserve">found to </w:t>
      </w:r>
      <w:r w:rsidR="005A394C">
        <w:t>lowers</w:t>
      </w:r>
      <w:r w:rsidR="001C1227">
        <w:t xml:space="preserve"> information asymmetry</w:t>
      </w:r>
      <w:r w:rsidR="00ED42B5">
        <w:t xml:space="preserve"> </w:t>
      </w:r>
      <w:r w:rsidR="00FE6980">
        <w:t>by reducing agency costs</w:t>
      </w:r>
      <w:r w:rsidR="005A394C">
        <w:t xml:space="preserve"> (Du et al., 2015)</w:t>
      </w:r>
      <w:r w:rsidR="00083F65">
        <w:t xml:space="preserve">. </w:t>
      </w:r>
      <w:r w:rsidR="008B151E">
        <w:t xml:space="preserve">ESG-conscious </w:t>
      </w:r>
      <w:r w:rsidR="008D52D4">
        <w:t>investors</w:t>
      </w:r>
      <w:r w:rsidR="001E4CFF">
        <w:t xml:space="preserve"> may perceive </w:t>
      </w:r>
      <w:r w:rsidR="00FD15AC">
        <w:t xml:space="preserve">firms with better ESG as having </w:t>
      </w:r>
      <w:r w:rsidR="007B3797">
        <w:t>lower risk, with stable cash flows</w:t>
      </w:r>
      <w:r w:rsidR="00FD15AC">
        <w:t xml:space="preserve"> </w:t>
      </w:r>
      <w:r w:rsidR="007B3797">
        <w:t xml:space="preserve">thus may react </w:t>
      </w:r>
      <w:r w:rsidR="008B151E">
        <w:t>positively</w:t>
      </w:r>
      <w:r w:rsidR="00A64CB8">
        <w:t xml:space="preserve"> (Howton et al., 1998; Shyam-Sunder, 1991)</w:t>
      </w:r>
      <w:r w:rsidR="007B3797">
        <w:t xml:space="preserve"> to </w:t>
      </w:r>
      <w:r w:rsidR="00DB0051">
        <w:t xml:space="preserve">bond issuance announcements </w:t>
      </w:r>
      <w:r w:rsidR="00A64CB8">
        <w:t>(</w:t>
      </w:r>
      <w:r w:rsidR="00DB0051">
        <w:t>Apergis et al., 2022; Johnson, 1995)</w:t>
      </w:r>
      <w:r w:rsidR="00B8362E">
        <w:t xml:space="preserve">. In </w:t>
      </w:r>
      <w:proofErr w:type="gramStart"/>
      <w:r w:rsidR="00B8362E">
        <w:t>general</w:t>
      </w:r>
      <w:proofErr w:type="gramEnd"/>
      <w:r w:rsidR="00B8362E">
        <w:t xml:space="preserve"> these theories predict </w:t>
      </w:r>
      <w:proofErr w:type="gramStart"/>
      <w:r w:rsidR="00B8362E">
        <w:t xml:space="preserve">that </w:t>
      </w:r>
      <w:r w:rsidR="005C28A0" w:rsidRPr="00B67CC0">
        <w:rPr>
          <w:rFonts w:asciiTheme="majorBidi" w:hAnsiTheme="majorBidi" w:cstheme="majorBidi"/>
        </w:rPr>
        <w:t xml:space="preserve"> strong</w:t>
      </w:r>
      <w:proofErr w:type="gramEnd"/>
      <w:r w:rsidR="005C28A0" w:rsidRPr="00B67CC0">
        <w:rPr>
          <w:rFonts w:asciiTheme="majorBidi" w:hAnsiTheme="majorBidi" w:cstheme="majorBidi"/>
        </w:rPr>
        <w:t xml:space="preserve"> ESG performance signals the firm’s quality, transparency, better governance, serving the interests of all stakeholders, </w:t>
      </w:r>
      <w:proofErr w:type="gramStart"/>
      <w:r w:rsidR="005C28A0" w:rsidRPr="00B67CC0">
        <w:rPr>
          <w:rFonts w:asciiTheme="majorBidi" w:hAnsiTheme="majorBidi" w:cstheme="majorBidi"/>
        </w:rPr>
        <w:t>helps</w:t>
      </w:r>
      <w:proofErr w:type="gramEnd"/>
      <w:r w:rsidR="005C28A0" w:rsidRPr="00B67CC0">
        <w:rPr>
          <w:rFonts w:asciiTheme="majorBidi" w:hAnsiTheme="majorBidi" w:cstheme="majorBidi"/>
        </w:rPr>
        <w:t xml:space="preserve"> firms gain </w:t>
      </w:r>
      <w:proofErr w:type="gramStart"/>
      <w:r w:rsidR="005C28A0" w:rsidRPr="00B67CC0">
        <w:rPr>
          <w:rFonts w:asciiTheme="majorBidi" w:hAnsiTheme="majorBidi" w:cstheme="majorBidi"/>
        </w:rPr>
        <w:t>legitimacy</w:t>
      </w:r>
      <w:r w:rsidR="004E3CBA">
        <w:rPr>
          <w:rFonts w:asciiTheme="majorBidi" w:hAnsiTheme="majorBidi" w:cstheme="majorBidi"/>
        </w:rPr>
        <w:t xml:space="preserve"> ,</w:t>
      </w:r>
      <w:proofErr w:type="gramEnd"/>
      <w:r w:rsidR="004E3CBA">
        <w:rPr>
          <w:rFonts w:asciiTheme="majorBidi" w:hAnsiTheme="majorBidi" w:cstheme="majorBidi"/>
        </w:rPr>
        <w:t xml:space="preserve"> </w:t>
      </w:r>
      <w:proofErr w:type="gramStart"/>
      <w:r w:rsidR="004E3CBA">
        <w:rPr>
          <w:rFonts w:asciiTheme="majorBidi" w:hAnsiTheme="majorBidi" w:cstheme="majorBidi"/>
        </w:rPr>
        <w:t>improve</w:t>
      </w:r>
      <w:proofErr w:type="gramEnd"/>
      <w:r w:rsidR="004E3CBA">
        <w:rPr>
          <w:rFonts w:asciiTheme="majorBidi" w:hAnsiTheme="majorBidi" w:cstheme="majorBidi"/>
        </w:rPr>
        <w:t xml:space="preserve"> creditworthiness</w:t>
      </w:r>
      <w:r w:rsidR="005C28A0" w:rsidRPr="00B67CC0">
        <w:rPr>
          <w:rFonts w:asciiTheme="majorBidi" w:hAnsiTheme="majorBidi" w:cstheme="majorBidi"/>
        </w:rPr>
        <w:t>, and reduces investors' risk</w:t>
      </w:r>
      <w:r w:rsidR="001F0525">
        <w:rPr>
          <w:rFonts w:asciiTheme="majorBidi" w:hAnsiTheme="majorBidi" w:cstheme="majorBidi"/>
        </w:rPr>
        <w:t>.</w:t>
      </w:r>
    </w:p>
    <w:p w14:paraId="43CE109E" w14:textId="5DCDBD01" w:rsidR="005C28A0" w:rsidRPr="00B67CC0" w:rsidRDefault="005C28A0" w:rsidP="005853BF">
      <w:pPr>
        <w:jc w:val="both"/>
        <w:rPr>
          <w:rFonts w:asciiTheme="majorBidi" w:hAnsiTheme="majorBidi" w:cstheme="majorBidi"/>
        </w:rPr>
      </w:pPr>
      <w:r w:rsidRPr="00B67CC0">
        <w:rPr>
          <w:rFonts w:asciiTheme="majorBidi" w:hAnsiTheme="majorBidi" w:cstheme="majorBidi"/>
        </w:rPr>
        <w:t xml:space="preserve"> </w:t>
      </w:r>
      <w:r w:rsidR="00EF4FFB">
        <w:t xml:space="preserve">Based on these theoretical </w:t>
      </w:r>
      <w:r w:rsidR="001F0525">
        <w:t xml:space="preserve">predictions, </w:t>
      </w:r>
      <w:r w:rsidRPr="00B67CC0">
        <w:rPr>
          <w:rFonts w:asciiTheme="majorBidi" w:hAnsiTheme="majorBidi" w:cstheme="majorBidi"/>
        </w:rPr>
        <w:t>the paper hypothesizes the following:</w:t>
      </w:r>
    </w:p>
    <w:p w14:paraId="66525072" w14:textId="60F7E51D" w:rsidR="00B82FAE" w:rsidRDefault="00B82FAE" w:rsidP="005853BF">
      <w:pPr>
        <w:ind w:left="540"/>
        <w:jc w:val="both"/>
        <w:rPr>
          <w:rFonts w:asciiTheme="majorBidi" w:eastAsiaTheme="minorEastAsia" w:hAnsiTheme="majorBidi" w:cstheme="majorBidi"/>
          <w:color w:val="000000"/>
          <w:sz w:val="24"/>
          <w:szCs w:val="24"/>
          <w:shd w:val="clear" w:color="auto" w:fill="FFFFFF"/>
        </w:rPr>
      </w:pPr>
      <w:r w:rsidRPr="00B67CC0">
        <w:rPr>
          <w:rFonts w:asciiTheme="majorBidi" w:eastAsiaTheme="minorEastAsia" w:hAnsiTheme="majorBidi" w:cstheme="majorBidi"/>
          <w:color w:val="000000"/>
          <w:sz w:val="24"/>
          <w:szCs w:val="24"/>
          <w:shd w:val="clear" w:color="auto" w:fill="FFFFFF"/>
        </w:rPr>
        <w:t xml:space="preserve">H </w:t>
      </w:r>
      <w:r>
        <w:rPr>
          <w:rFonts w:asciiTheme="majorBidi" w:eastAsiaTheme="minorEastAsia" w:hAnsiTheme="majorBidi" w:cstheme="majorBidi"/>
          <w:color w:val="000000"/>
          <w:sz w:val="24"/>
          <w:szCs w:val="24"/>
          <w:shd w:val="clear" w:color="auto" w:fill="FFFFFF"/>
        </w:rPr>
        <w:t>1</w:t>
      </w:r>
      <w:r w:rsidRPr="00B67CC0">
        <w:rPr>
          <w:rFonts w:asciiTheme="majorBidi" w:eastAsiaTheme="minorEastAsia" w:hAnsiTheme="majorBidi" w:cstheme="majorBidi"/>
          <w:color w:val="000000"/>
          <w:sz w:val="24"/>
          <w:szCs w:val="24"/>
          <w:shd w:val="clear" w:color="auto" w:fill="FFFFFF"/>
        </w:rPr>
        <w:t>:</w:t>
      </w:r>
      <w:r w:rsidRPr="00B67CC0">
        <w:rPr>
          <w:rFonts w:asciiTheme="majorBidi" w:eastAsiaTheme="minorHAnsi" w:hAnsiTheme="majorBidi" w:cstheme="majorBidi"/>
        </w:rPr>
        <w:tab/>
      </w:r>
      <w:r w:rsidRPr="00B67CC0">
        <w:rPr>
          <w:rFonts w:asciiTheme="majorBidi" w:eastAsiaTheme="minorEastAsia" w:hAnsiTheme="majorBidi" w:cstheme="majorBidi"/>
          <w:color w:val="000000"/>
          <w:sz w:val="24"/>
          <w:szCs w:val="24"/>
          <w:shd w:val="clear" w:color="auto" w:fill="FFFFFF"/>
        </w:rPr>
        <w:t xml:space="preserve">Firms with </w:t>
      </w:r>
      <w:r w:rsidR="00AC6BC2" w:rsidRPr="00B67CC0">
        <w:rPr>
          <w:rFonts w:asciiTheme="majorBidi" w:hAnsiTheme="majorBidi" w:cstheme="majorBidi"/>
          <w:sz w:val="24"/>
          <w:szCs w:val="24"/>
        </w:rPr>
        <w:t xml:space="preserve">high ESG </w:t>
      </w:r>
      <w:r w:rsidR="00AC6BC2">
        <w:rPr>
          <w:rFonts w:asciiTheme="majorBidi" w:hAnsiTheme="majorBidi" w:cstheme="majorBidi"/>
          <w:sz w:val="24"/>
          <w:szCs w:val="24"/>
        </w:rPr>
        <w:t>,</w:t>
      </w:r>
      <w:r w:rsidR="00AC6BC2" w:rsidRPr="00B67CC0">
        <w:rPr>
          <w:rFonts w:asciiTheme="majorBidi" w:hAnsiTheme="majorBidi" w:cstheme="majorBidi"/>
        </w:rPr>
        <w:t>Environmental, Social, and Governance pillars</w:t>
      </w:r>
      <w:r w:rsidR="00AC6BC2">
        <w:rPr>
          <w:rFonts w:asciiTheme="majorBidi" w:hAnsiTheme="majorBidi" w:cstheme="majorBidi"/>
        </w:rPr>
        <w:t xml:space="preserve"> </w:t>
      </w:r>
      <w:r w:rsidR="00AC6BC2" w:rsidRPr="00B67CC0">
        <w:rPr>
          <w:rFonts w:asciiTheme="majorBidi" w:hAnsiTheme="majorBidi" w:cstheme="majorBidi"/>
        </w:rPr>
        <w:t xml:space="preserve"> </w:t>
      </w:r>
      <w:r w:rsidR="00CC12BA">
        <w:rPr>
          <w:rFonts w:asciiTheme="majorBidi" w:eastAsiaTheme="minorEastAsia" w:hAnsiTheme="majorBidi" w:cstheme="majorBidi"/>
          <w:sz w:val="24"/>
          <w:szCs w:val="24"/>
        </w:rPr>
        <w:t xml:space="preserve">performance </w:t>
      </w:r>
      <w:r w:rsidR="00AC6BC2" w:rsidRPr="00B67CC0">
        <w:rPr>
          <w:rFonts w:asciiTheme="majorBidi" w:eastAsiaTheme="minorEastAsia" w:hAnsiTheme="majorBidi" w:cstheme="majorBidi"/>
          <w:color w:val="000000"/>
          <w:sz w:val="24"/>
          <w:szCs w:val="24"/>
          <w:shd w:val="clear" w:color="auto" w:fill="FFFFFF"/>
        </w:rPr>
        <w:t>are</w:t>
      </w:r>
      <w:r w:rsidRPr="00B67CC0">
        <w:rPr>
          <w:rFonts w:asciiTheme="majorBidi" w:eastAsiaTheme="minorEastAsia" w:hAnsiTheme="majorBidi" w:cstheme="majorBidi"/>
          <w:color w:val="000000"/>
          <w:sz w:val="24"/>
          <w:szCs w:val="24"/>
          <w:shd w:val="clear" w:color="auto" w:fill="FFFFFF"/>
        </w:rPr>
        <w:t xml:space="preserve"> likely to experience lower </w:t>
      </w:r>
      <w:r>
        <w:rPr>
          <w:rFonts w:asciiTheme="majorBidi" w:eastAsiaTheme="minorEastAsia" w:hAnsiTheme="majorBidi" w:cstheme="majorBidi"/>
          <w:color w:val="000000"/>
          <w:sz w:val="24"/>
          <w:szCs w:val="24"/>
          <w:shd w:val="clear" w:color="auto" w:fill="FFFFFF"/>
        </w:rPr>
        <w:t>cost of Debt</w:t>
      </w:r>
    </w:p>
    <w:p w14:paraId="3F77F2BB" w14:textId="35F5F6AA" w:rsidR="00B82FAE" w:rsidRPr="00B67CC0" w:rsidRDefault="00B82FAE" w:rsidP="005853BF">
      <w:pPr>
        <w:ind w:left="540"/>
        <w:jc w:val="both"/>
        <w:rPr>
          <w:rFonts w:asciiTheme="majorBidi" w:eastAsiaTheme="minorEastAsia" w:hAnsiTheme="majorBidi" w:cstheme="majorBidi"/>
          <w:color w:val="000000"/>
          <w:sz w:val="24"/>
          <w:szCs w:val="24"/>
          <w:shd w:val="clear" w:color="auto" w:fill="FFFFFF"/>
        </w:rPr>
      </w:pPr>
      <w:r w:rsidRPr="00B67CC0">
        <w:rPr>
          <w:rFonts w:asciiTheme="majorBidi" w:eastAsiaTheme="minorEastAsia" w:hAnsiTheme="majorBidi" w:cstheme="majorBidi"/>
          <w:color w:val="000000"/>
          <w:sz w:val="24"/>
          <w:szCs w:val="24"/>
          <w:shd w:val="clear" w:color="auto" w:fill="FFFFFF"/>
        </w:rPr>
        <w:t>H 2:</w:t>
      </w:r>
      <w:r w:rsidRPr="00B67CC0">
        <w:rPr>
          <w:rFonts w:asciiTheme="majorBidi" w:eastAsiaTheme="minorHAnsi" w:hAnsiTheme="majorBidi" w:cstheme="majorBidi"/>
        </w:rPr>
        <w:tab/>
      </w:r>
      <w:r w:rsidRPr="00B67CC0">
        <w:rPr>
          <w:rFonts w:asciiTheme="majorBidi" w:eastAsiaTheme="minorEastAsia" w:hAnsiTheme="majorBidi" w:cstheme="majorBidi"/>
          <w:color w:val="000000"/>
          <w:sz w:val="24"/>
          <w:szCs w:val="24"/>
          <w:shd w:val="clear" w:color="auto" w:fill="FFFFFF"/>
        </w:rPr>
        <w:t xml:space="preserve">Firms with </w:t>
      </w:r>
      <w:r w:rsidRPr="00B67CC0">
        <w:rPr>
          <w:rFonts w:asciiTheme="majorBidi" w:hAnsiTheme="majorBidi" w:cstheme="majorBidi"/>
          <w:sz w:val="24"/>
          <w:szCs w:val="24"/>
        </w:rPr>
        <w:t xml:space="preserve">high ESG </w:t>
      </w:r>
      <w:r w:rsidR="00AC6BC2">
        <w:rPr>
          <w:rFonts w:asciiTheme="majorBidi" w:hAnsiTheme="majorBidi" w:cstheme="majorBidi"/>
          <w:sz w:val="24"/>
          <w:szCs w:val="24"/>
        </w:rPr>
        <w:t>,</w:t>
      </w:r>
      <w:r w:rsidR="00F2404C" w:rsidRPr="00B67CC0">
        <w:rPr>
          <w:rFonts w:asciiTheme="majorBidi" w:hAnsiTheme="majorBidi" w:cstheme="majorBidi"/>
        </w:rPr>
        <w:t>Environmental, Social, and Governance pillars</w:t>
      </w:r>
      <w:r w:rsidR="00AC6BC2">
        <w:rPr>
          <w:rFonts w:asciiTheme="majorBidi" w:hAnsiTheme="majorBidi" w:cstheme="majorBidi"/>
        </w:rPr>
        <w:t xml:space="preserve"> </w:t>
      </w:r>
      <w:r w:rsidR="00F2404C" w:rsidRPr="00B67CC0">
        <w:rPr>
          <w:rFonts w:asciiTheme="majorBidi" w:hAnsiTheme="majorBidi" w:cstheme="majorBidi"/>
        </w:rPr>
        <w:t xml:space="preserve"> </w:t>
      </w:r>
      <w:r w:rsidR="00CC12BA">
        <w:rPr>
          <w:rFonts w:asciiTheme="majorBidi" w:eastAsiaTheme="minorEastAsia" w:hAnsiTheme="majorBidi" w:cstheme="majorBidi"/>
          <w:sz w:val="24"/>
          <w:szCs w:val="24"/>
        </w:rPr>
        <w:t>performance</w:t>
      </w:r>
      <w:r w:rsidR="00CC12BA">
        <w:rPr>
          <w:rFonts w:asciiTheme="majorBidi" w:eastAsiaTheme="minorEastAsia" w:hAnsiTheme="majorBidi" w:cstheme="majorBidi"/>
          <w:b/>
          <w:bCs/>
          <w:sz w:val="24"/>
          <w:szCs w:val="24"/>
        </w:rPr>
        <w:t xml:space="preserve"> </w:t>
      </w:r>
      <w:r w:rsidRPr="00B67CC0">
        <w:rPr>
          <w:rFonts w:asciiTheme="majorBidi" w:eastAsiaTheme="minorEastAsia" w:hAnsiTheme="majorBidi" w:cstheme="majorBidi"/>
          <w:color w:val="000000"/>
          <w:sz w:val="24"/>
          <w:szCs w:val="24"/>
          <w:shd w:val="clear" w:color="auto" w:fill="FFFFFF"/>
        </w:rPr>
        <w:t xml:space="preserve">are likely to experience </w:t>
      </w:r>
      <w:r>
        <w:rPr>
          <w:rFonts w:asciiTheme="majorBidi" w:eastAsiaTheme="minorEastAsia" w:hAnsiTheme="majorBidi" w:cstheme="majorBidi"/>
          <w:color w:val="000000"/>
          <w:sz w:val="24"/>
          <w:szCs w:val="24"/>
          <w:shd w:val="clear" w:color="auto" w:fill="FFFFFF"/>
        </w:rPr>
        <w:t>higher Bond rating</w:t>
      </w:r>
    </w:p>
    <w:p w14:paraId="53606553" w14:textId="3FAEC09B" w:rsidR="005C28A0" w:rsidRDefault="005C28A0" w:rsidP="005853BF">
      <w:pPr>
        <w:ind w:left="1440" w:hanging="900"/>
        <w:jc w:val="both"/>
        <w:rPr>
          <w:rFonts w:asciiTheme="majorBidi" w:eastAsiaTheme="minorEastAsia" w:hAnsiTheme="majorBidi" w:cstheme="majorBidi"/>
          <w:sz w:val="24"/>
          <w:szCs w:val="24"/>
        </w:rPr>
      </w:pPr>
      <w:r w:rsidRPr="00B67CC0">
        <w:rPr>
          <w:rFonts w:asciiTheme="majorBidi" w:eastAsiaTheme="minorEastAsia" w:hAnsiTheme="majorBidi" w:cstheme="majorBidi"/>
          <w:sz w:val="24"/>
          <w:szCs w:val="24"/>
        </w:rPr>
        <w:t xml:space="preserve">H </w:t>
      </w:r>
      <w:r w:rsidR="00B82FAE">
        <w:rPr>
          <w:rFonts w:asciiTheme="majorBidi" w:eastAsiaTheme="minorEastAsia" w:hAnsiTheme="majorBidi" w:cstheme="majorBidi"/>
          <w:sz w:val="24"/>
          <w:szCs w:val="24"/>
        </w:rPr>
        <w:t>3</w:t>
      </w:r>
      <w:r w:rsidRPr="00B67CC0">
        <w:rPr>
          <w:rFonts w:asciiTheme="majorBidi" w:eastAsiaTheme="minorEastAsia" w:hAnsiTheme="majorBidi" w:cstheme="majorBidi"/>
          <w:sz w:val="24"/>
          <w:szCs w:val="24"/>
        </w:rPr>
        <w:t>:</w:t>
      </w:r>
      <w:r w:rsidRPr="00B67CC0">
        <w:rPr>
          <w:rFonts w:asciiTheme="majorBidi" w:eastAsiaTheme="minorHAnsi" w:hAnsiTheme="majorBidi" w:cstheme="majorBidi"/>
        </w:rPr>
        <w:tab/>
      </w:r>
      <w:r w:rsidR="004E3CBA">
        <w:rPr>
          <w:rFonts w:asciiTheme="majorBidi" w:eastAsiaTheme="minorEastAsia" w:hAnsiTheme="majorBidi" w:cstheme="majorBidi"/>
          <w:sz w:val="24"/>
          <w:szCs w:val="24"/>
        </w:rPr>
        <w:t>Bond offering</w:t>
      </w:r>
      <w:r w:rsidRPr="00B67CC0">
        <w:rPr>
          <w:rFonts w:asciiTheme="majorBidi" w:eastAsiaTheme="minorEastAsia" w:hAnsiTheme="majorBidi" w:cstheme="majorBidi"/>
          <w:sz w:val="24"/>
          <w:szCs w:val="24"/>
        </w:rPr>
        <w:t xml:space="preserve"> announcement returns are significantly and positively associated with the firm’s </w:t>
      </w:r>
      <w:r w:rsidR="00CC12BA" w:rsidRPr="00B67CC0">
        <w:rPr>
          <w:rFonts w:asciiTheme="majorBidi" w:hAnsiTheme="majorBidi" w:cstheme="majorBidi"/>
          <w:sz w:val="24"/>
          <w:szCs w:val="24"/>
        </w:rPr>
        <w:t xml:space="preserve">ESG </w:t>
      </w:r>
      <w:r w:rsidR="00CC12BA">
        <w:rPr>
          <w:rFonts w:asciiTheme="majorBidi" w:hAnsiTheme="majorBidi" w:cstheme="majorBidi"/>
          <w:sz w:val="24"/>
          <w:szCs w:val="24"/>
        </w:rPr>
        <w:t>,</w:t>
      </w:r>
      <w:r w:rsidR="00CC12BA" w:rsidRPr="00B67CC0">
        <w:rPr>
          <w:rFonts w:asciiTheme="majorBidi" w:hAnsiTheme="majorBidi" w:cstheme="majorBidi"/>
        </w:rPr>
        <w:t>Environmental, Social, and Governance pillars</w:t>
      </w:r>
      <w:r w:rsidRPr="00B67CC0">
        <w:rPr>
          <w:rFonts w:asciiTheme="majorBidi" w:eastAsiaTheme="minorEastAsia" w:hAnsiTheme="majorBidi" w:cstheme="majorBidi"/>
          <w:sz w:val="24"/>
          <w:szCs w:val="24"/>
        </w:rPr>
        <w:t xml:space="preserve"> performance</w:t>
      </w:r>
      <w:r w:rsidR="00C94794">
        <w:rPr>
          <w:rFonts w:asciiTheme="majorBidi" w:eastAsiaTheme="minorEastAsia" w:hAnsiTheme="majorBidi" w:cstheme="majorBidi"/>
          <w:sz w:val="24"/>
          <w:szCs w:val="24"/>
        </w:rPr>
        <w:t xml:space="preserve"> </w:t>
      </w:r>
      <w:r w:rsidRPr="00B67CC0">
        <w:rPr>
          <w:rFonts w:asciiTheme="majorBidi" w:eastAsiaTheme="minorEastAsia" w:hAnsiTheme="majorBidi" w:cstheme="majorBidi"/>
          <w:sz w:val="24"/>
          <w:szCs w:val="24"/>
        </w:rPr>
        <w:t xml:space="preserve">. </w:t>
      </w:r>
    </w:p>
    <w:p w14:paraId="1CD7A959" w14:textId="0E842A94" w:rsidR="00422E77" w:rsidRPr="00DE2999" w:rsidRDefault="00422E77" w:rsidP="005853BF">
      <w:pPr>
        <w:jc w:val="both"/>
        <w:rPr>
          <w:rFonts w:asciiTheme="majorBidi" w:hAnsiTheme="majorBidi" w:cstheme="majorBidi"/>
        </w:rPr>
      </w:pPr>
      <w:r w:rsidRPr="00DE2999">
        <w:rPr>
          <w:rFonts w:asciiTheme="majorBidi" w:hAnsiTheme="majorBidi" w:cstheme="majorBidi"/>
        </w:rPr>
        <w:t xml:space="preserve">By examining each ESG pillar individually, this study provides a granular analysis of the impact of each ESG </w:t>
      </w:r>
      <w:r w:rsidR="00DE2999">
        <w:rPr>
          <w:rFonts w:asciiTheme="majorBidi" w:hAnsiTheme="majorBidi" w:cstheme="majorBidi"/>
        </w:rPr>
        <w:t>practices</w:t>
      </w:r>
      <w:r w:rsidRPr="00DE2999">
        <w:rPr>
          <w:rFonts w:asciiTheme="majorBidi" w:hAnsiTheme="majorBidi" w:cstheme="majorBidi"/>
        </w:rPr>
        <w:t xml:space="preserve"> on the cost of debt. </w:t>
      </w:r>
    </w:p>
    <w:p w14:paraId="2C3683BA" w14:textId="6CFDD39C" w:rsidR="002D3EEE" w:rsidRPr="0093413E" w:rsidRDefault="002D3EEE" w:rsidP="005853BF">
      <w:pPr>
        <w:pStyle w:val="Heading3"/>
        <w:numPr>
          <w:ilvl w:val="0"/>
          <w:numId w:val="34"/>
        </w:numPr>
        <w:ind w:left="450"/>
        <w:rPr>
          <w:rFonts w:asciiTheme="majorBidi" w:hAnsiTheme="majorBidi"/>
          <w:color w:val="auto"/>
          <w:sz w:val="24"/>
          <w:szCs w:val="24"/>
        </w:rPr>
      </w:pPr>
      <w:r w:rsidRPr="0093413E">
        <w:rPr>
          <w:rFonts w:asciiTheme="majorBidi" w:hAnsiTheme="majorBidi"/>
          <w:color w:val="auto"/>
          <w:sz w:val="24"/>
          <w:szCs w:val="24"/>
        </w:rPr>
        <w:t xml:space="preserve">Sample </w:t>
      </w:r>
      <w:r w:rsidR="00D43931" w:rsidRPr="0093413E">
        <w:rPr>
          <w:rFonts w:asciiTheme="majorBidi" w:hAnsiTheme="majorBidi"/>
          <w:color w:val="auto"/>
          <w:sz w:val="24"/>
          <w:szCs w:val="24"/>
        </w:rPr>
        <w:t>a</w:t>
      </w:r>
      <w:r w:rsidRPr="0093413E">
        <w:rPr>
          <w:rFonts w:asciiTheme="majorBidi" w:hAnsiTheme="majorBidi"/>
          <w:color w:val="auto"/>
          <w:sz w:val="24"/>
          <w:szCs w:val="24"/>
        </w:rPr>
        <w:t xml:space="preserve">nd Methodology </w:t>
      </w:r>
    </w:p>
    <w:p w14:paraId="092C4051" w14:textId="2A18260B" w:rsidR="00E4339D" w:rsidRPr="0093413E" w:rsidRDefault="007147CE" w:rsidP="005853BF">
      <w:pPr>
        <w:pStyle w:val="Heading3"/>
        <w:numPr>
          <w:ilvl w:val="0"/>
          <w:numId w:val="0"/>
        </w:numPr>
        <w:ind w:left="450"/>
        <w:rPr>
          <w:rFonts w:asciiTheme="majorBidi" w:hAnsiTheme="majorBidi"/>
          <w:color w:val="auto"/>
          <w:sz w:val="24"/>
          <w:szCs w:val="24"/>
        </w:rPr>
      </w:pPr>
      <w:r w:rsidRPr="0093413E">
        <w:rPr>
          <w:rFonts w:asciiTheme="majorBidi" w:hAnsiTheme="majorBidi"/>
          <w:color w:val="auto"/>
          <w:sz w:val="24"/>
          <w:szCs w:val="24"/>
        </w:rPr>
        <w:t xml:space="preserve">3.1 </w:t>
      </w:r>
      <w:r w:rsidR="00E4339D" w:rsidRPr="0093413E">
        <w:rPr>
          <w:rFonts w:asciiTheme="majorBidi" w:hAnsiTheme="majorBidi"/>
          <w:color w:val="auto"/>
          <w:sz w:val="24"/>
          <w:szCs w:val="24"/>
        </w:rPr>
        <w:t xml:space="preserve">Sample </w:t>
      </w:r>
      <w:r w:rsidR="00F61237" w:rsidRPr="0093413E">
        <w:rPr>
          <w:rFonts w:asciiTheme="majorBidi" w:hAnsiTheme="majorBidi"/>
          <w:color w:val="auto"/>
          <w:sz w:val="24"/>
          <w:szCs w:val="24"/>
        </w:rPr>
        <w:t>Construction</w:t>
      </w:r>
    </w:p>
    <w:p w14:paraId="77CF9BE9" w14:textId="00386F03" w:rsidR="002926C6" w:rsidRPr="0093413E" w:rsidRDefault="00152C02" w:rsidP="005853BF">
      <w:pPr>
        <w:pStyle w:val="NormalWeb"/>
        <w:spacing w:before="0" w:beforeAutospacing="0" w:after="0" w:afterAutospacing="0"/>
        <w:ind w:firstLine="432"/>
        <w:jc w:val="both"/>
        <w:rPr>
          <w:rFonts w:asciiTheme="majorBidi" w:hAnsiTheme="majorBidi" w:cstheme="majorBidi"/>
        </w:rPr>
      </w:pPr>
      <w:r w:rsidRPr="0093413E">
        <w:rPr>
          <w:rFonts w:asciiTheme="majorBidi" w:hAnsiTheme="majorBidi" w:cstheme="majorBidi"/>
        </w:rPr>
        <w:t xml:space="preserve">To investigate the impact of </w:t>
      </w:r>
      <w:r w:rsidR="008220D7" w:rsidRPr="0093413E">
        <w:rPr>
          <w:rFonts w:asciiTheme="majorBidi" w:hAnsiTheme="majorBidi" w:cstheme="majorBidi"/>
        </w:rPr>
        <w:t>ESG</w:t>
      </w:r>
      <w:r w:rsidRPr="0093413E">
        <w:rPr>
          <w:rFonts w:asciiTheme="majorBidi" w:hAnsiTheme="majorBidi" w:cstheme="majorBidi"/>
        </w:rPr>
        <w:t xml:space="preserve"> on the </w:t>
      </w:r>
      <w:r w:rsidR="004B26C0" w:rsidRPr="0093413E">
        <w:rPr>
          <w:rFonts w:asciiTheme="majorBidi" w:hAnsiTheme="majorBidi" w:cstheme="majorBidi"/>
        </w:rPr>
        <w:t>cost</w:t>
      </w:r>
      <w:r w:rsidRPr="0093413E">
        <w:rPr>
          <w:rFonts w:asciiTheme="majorBidi" w:hAnsiTheme="majorBidi" w:cstheme="majorBidi"/>
        </w:rPr>
        <w:t xml:space="preserve"> </w:t>
      </w:r>
      <w:r w:rsidR="005410F7" w:rsidRPr="0093413E">
        <w:rPr>
          <w:rFonts w:asciiTheme="majorBidi" w:hAnsiTheme="majorBidi" w:cstheme="majorBidi"/>
        </w:rPr>
        <w:t>of</w:t>
      </w:r>
      <w:r w:rsidRPr="0093413E">
        <w:rPr>
          <w:rFonts w:asciiTheme="majorBidi" w:hAnsiTheme="majorBidi" w:cstheme="majorBidi"/>
        </w:rPr>
        <w:t xml:space="preserve"> </w:t>
      </w:r>
      <w:r w:rsidR="00024F21" w:rsidRPr="0093413E">
        <w:rPr>
          <w:rFonts w:asciiTheme="majorBidi" w:hAnsiTheme="majorBidi" w:cstheme="majorBidi"/>
        </w:rPr>
        <w:t>debt</w:t>
      </w:r>
      <w:r w:rsidRPr="0093413E">
        <w:rPr>
          <w:rFonts w:asciiTheme="majorBidi" w:hAnsiTheme="majorBidi" w:cstheme="majorBidi"/>
        </w:rPr>
        <w:t xml:space="preserve">, </w:t>
      </w:r>
      <w:r w:rsidR="008A6940" w:rsidRPr="0093413E">
        <w:rPr>
          <w:rFonts w:asciiTheme="majorBidi" w:hAnsiTheme="majorBidi" w:cstheme="majorBidi"/>
        </w:rPr>
        <w:t xml:space="preserve">the sample is constructed </w:t>
      </w:r>
      <w:r w:rsidRPr="0093413E">
        <w:rPr>
          <w:rFonts w:asciiTheme="majorBidi" w:hAnsiTheme="majorBidi" w:cstheme="majorBidi"/>
        </w:rPr>
        <w:t xml:space="preserve">by </w:t>
      </w:r>
      <w:r w:rsidR="00D050C7" w:rsidRPr="0093413E">
        <w:rPr>
          <w:rFonts w:asciiTheme="majorBidi" w:hAnsiTheme="majorBidi" w:cstheme="majorBidi"/>
        </w:rPr>
        <w:t>combining</w:t>
      </w:r>
      <w:r w:rsidRPr="0093413E">
        <w:rPr>
          <w:rFonts w:asciiTheme="majorBidi" w:hAnsiTheme="majorBidi" w:cstheme="majorBidi"/>
        </w:rPr>
        <w:t xml:space="preserve"> data from</w:t>
      </w:r>
      <w:r w:rsidR="00EA2822" w:rsidRPr="0093413E">
        <w:rPr>
          <w:rFonts w:asciiTheme="majorBidi" w:hAnsiTheme="majorBidi" w:cstheme="majorBidi"/>
        </w:rPr>
        <w:t xml:space="preserve"> the</w:t>
      </w:r>
      <w:r w:rsidRPr="0093413E">
        <w:rPr>
          <w:rFonts w:asciiTheme="majorBidi" w:hAnsiTheme="majorBidi" w:cstheme="majorBidi"/>
        </w:rPr>
        <w:t xml:space="preserve"> </w:t>
      </w:r>
      <w:r w:rsidR="00EA2822" w:rsidRPr="0093413E">
        <w:rPr>
          <w:rFonts w:asciiTheme="majorBidi" w:hAnsiTheme="majorBidi" w:cstheme="majorBidi"/>
        </w:rPr>
        <w:t>London Stock Exchange Group (</w:t>
      </w:r>
      <w:r w:rsidR="00812DF4" w:rsidRPr="0093413E">
        <w:rPr>
          <w:rFonts w:asciiTheme="majorBidi" w:hAnsiTheme="majorBidi" w:cstheme="majorBidi"/>
        </w:rPr>
        <w:t>L</w:t>
      </w:r>
      <w:r w:rsidR="00321699" w:rsidRPr="0093413E">
        <w:rPr>
          <w:rFonts w:asciiTheme="majorBidi" w:hAnsiTheme="majorBidi" w:cstheme="majorBidi"/>
        </w:rPr>
        <w:t>SEG</w:t>
      </w:r>
      <w:r w:rsidR="00EA2822" w:rsidRPr="0093413E">
        <w:rPr>
          <w:rFonts w:asciiTheme="majorBidi" w:hAnsiTheme="majorBidi" w:cstheme="majorBidi"/>
        </w:rPr>
        <w:t>)</w:t>
      </w:r>
      <w:r w:rsidR="00321699" w:rsidRPr="0093413E">
        <w:rPr>
          <w:rFonts w:asciiTheme="majorBidi" w:hAnsiTheme="majorBidi" w:cstheme="majorBidi"/>
        </w:rPr>
        <w:t xml:space="preserve">’s </w:t>
      </w:r>
      <w:r w:rsidR="00D050C7" w:rsidRPr="0093413E">
        <w:rPr>
          <w:rFonts w:asciiTheme="majorBidi" w:hAnsiTheme="majorBidi" w:cstheme="majorBidi"/>
        </w:rPr>
        <w:t>major</w:t>
      </w:r>
      <w:r w:rsidRPr="0093413E">
        <w:rPr>
          <w:rFonts w:asciiTheme="majorBidi" w:hAnsiTheme="majorBidi" w:cstheme="majorBidi"/>
        </w:rPr>
        <w:t xml:space="preserve"> </w:t>
      </w:r>
      <w:r w:rsidR="001603EB" w:rsidRPr="0093413E">
        <w:rPr>
          <w:rFonts w:asciiTheme="majorBidi" w:hAnsiTheme="majorBidi" w:cstheme="majorBidi"/>
        </w:rPr>
        <w:t>database</w:t>
      </w:r>
      <w:r w:rsidR="00D050C7" w:rsidRPr="0093413E">
        <w:rPr>
          <w:rFonts w:asciiTheme="majorBidi" w:hAnsiTheme="majorBidi" w:cstheme="majorBidi"/>
        </w:rPr>
        <w:t xml:space="preserve">. </w:t>
      </w:r>
      <w:r w:rsidR="00EA2822" w:rsidRPr="0093413E">
        <w:rPr>
          <w:rFonts w:asciiTheme="majorBidi" w:hAnsiTheme="majorBidi" w:cstheme="majorBidi"/>
        </w:rPr>
        <w:t>The LSEG provides</w:t>
      </w:r>
      <w:r w:rsidR="000757FD" w:rsidRPr="0093413E">
        <w:rPr>
          <w:rFonts w:asciiTheme="majorBidi" w:hAnsiTheme="majorBidi" w:cstheme="majorBidi"/>
        </w:rPr>
        <w:t xml:space="preserve"> </w:t>
      </w:r>
      <w:r w:rsidR="00084C1B" w:rsidRPr="0093413E">
        <w:rPr>
          <w:rFonts w:asciiTheme="majorBidi" w:hAnsiTheme="majorBidi" w:cstheme="majorBidi"/>
        </w:rPr>
        <w:t xml:space="preserve">an ESG (Environmental, Social, and </w:t>
      </w:r>
      <w:r w:rsidR="00EA2822" w:rsidRPr="0093413E">
        <w:rPr>
          <w:rFonts w:asciiTheme="majorBidi" w:hAnsiTheme="majorBidi" w:cstheme="majorBidi"/>
        </w:rPr>
        <w:t>Governance)</w:t>
      </w:r>
      <w:r w:rsidR="00084C1B" w:rsidRPr="0093413E">
        <w:rPr>
          <w:rFonts w:asciiTheme="majorBidi" w:hAnsiTheme="majorBidi" w:cstheme="majorBidi"/>
        </w:rPr>
        <w:t xml:space="preserve"> dataset</w:t>
      </w:r>
      <w:r w:rsidR="45422BF5" w:rsidRPr="0093413E">
        <w:rPr>
          <w:rFonts w:asciiTheme="majorBidi" w:hAnsiTheme="majorBidi" w:cstheme="majorBidi"/>
        </w:rPr>
        <w:t>,</w:t>
      </w:r>
      <w:r w:rsidR="00084C1B" w:rsidRPr="0093413E">
        <w:rPr>
          <w:rFonts w:asciiTheme="majorBidi" w:hAnsiTheme="majorBidi" w:cstheme="majorBidi"/>
        </w:rPr>
        <w:t xml:space="preserve"> formerly known as Datastream/Refinitiv/Asset 4</w:t>
      </w:r>
      <w:r w:rsidR="63A56BE9" w:rsidRPr="0093413E">
        <w:rPr>
          <w:rFonts w:asciiTheme="majorBidi" w:hAnsiTheme="majorBidi" w:cstheme="majorBidi"/>
        </w:rPr>
        <w:t>,</w:t>
      </w:r>
      <w:r w:rsidR="00084C1B" w:rsidRPr="0093413E">
        <w:rPr>
          <w:rFonts w:asciiTheme="majorBidi" w:hAnsiTheme="majorBidi" w:cstheme="majorBidi"/>
        </w:rPr>
        <w:t xml:space="preserve"> </w:t>
      </w:r>
      <w:r w:rsidR="00EA2822" w:rsidRPr="0093413E">
        <w:rPr>
          <w:rFonts w:asciiTheme="majorBidi" w:hAnsiTheme="majorBidi" w:cstheme="majorBidi"/>
        </w:rPr>
        <w:t xml:space="preserve">covering hundreds of ESG-related variables and </w:t>
      </w:r>
      <w:r w:rsidR="00E25198" w:rsidRPr="0093413E">
        <w:rPr>
          <w:rFonts w:asciiTheme="majorBidi" w:hAnsiTheme="majorBidi" w:cstheme="majorBidi"/>
        </w:rPr>
        <w:t xml:space="preserve">ESG scores. </w:t>
      </w:r>
      <w:r w:rsidR="008662F4" w:rsidRPr="0093413E">
        <w:rPr>
          <w:rFonts w:asciiTheme="majorBidi" w:hAnsiTheme="majorBidi" w:cstheme="majorBidi"/>
        </w:rPr>
        <w:t xml:space="preserve">The </w:t>
      </w:r>
      <w:r w:rsidR="00914CDF" w:rsidRPr="0093413E">
        <w:rPr>
          <w:rFonts w:asciiTheme="majorBidi" w:hAnsiTheme="majorBidi" w:cstheme="majorBidi"/>
        </w:rPr>
        <w:t>ESG</w:t>
      </w:r>
      <w:r w:rsidR="00D80568" w:rsidRPr="0093413E">
        <w:rPr>
          <w:rFonts w:asciiTheme="majorBidi" w:hAnsiTheme="majorBidi" w:cstheme="majorBidi"/>
        </w:rPr>
        <w:t xml:space="preserve"> score is based on three </w:t>
      </w:r>
      <w:r w:rsidR="00A9389C" w:rsidRPr="0093413E">
        <w:rPr>
          <w:rFonts w:asciiTheme="majorBidi" w:hAnsiTheme="majorBidi" w:cstheme="majorBidi"/>
        </w:rPr>
        <w:t>primary</w:t>
      </w:r>
      <w:r w:rsidR="00D80568" w:rsidRPr="0093413E">
        <w:rPr>
          <w:rFonts w:asciiTheme="majorBidi" w:hAnsiTheme="majorBidi" w:cstheme="majorBidi"/>
        </w:rPr>
        <w:t xml:space="preserve"> pillars</w:t>
      </w:r>
      <w:r w:rsidR="0082703B" w:rsidRPr="0093413E">
        <w:rPr>
          <w:rFonts w:asciiTheme="majorBidi" w:hAnsiTheme="majorBidi" w:cstheme="majorBidi"/>
        </w:rPr>
        <w:t>: Environmental</w:t>
      </w:r>
      <w:r w:rsidR="00EA2822" w:rsidRPr="0093413E">
        <w:rPr>
          <w:rFonts w:asciiTheme="majorBidi" w:hAnsiTheme="majorBidi" w:cstheme="majorBidi"/>
        </w:rPr>
        <w:t>(E)</w:t>
      </w:r>
      <w:r w:rsidR="0082703B" w:rsidRPr="0093413E">
        <w:rPr>
          <w:rFonts w:asciiTheme="majorBidi" w:hAnsiTheme="majorBidi" w:cstheme="majorBidi"/>
        </w:rPr>
        <w:t>, Social</w:t>
      </w:r>
      <w:r w:rsidR="00EA2822" w:rsidRPr="0093413E">
        <w:rPr>
          <w:rFonts w:asciiTheme="majorBidi" w:hAnsiTheme="majorBidi" w:cstheme="majorBidi"/>
        </w:rPr>
        <w:t>(S)</w:t>
      </w:r>
      <w:r w:rsidR="0082703B" w:rsidRPr="0093413E">
        <w:rPr>
          <w:rFonts w:asciiTheme="majorBidi" w:hAnsiTheme="majorBidi" w:cstheme="majorBidi"/>
        </w:rPr>
        <w:t>, and Governance</w:t>
      </w:r>
      <w:r w:rsidR="00EA2822" w:rsidRPr="0093413E">
        <w:rPr>
          <w:rFonts w:asciiTheme="majorBidi" w:hAnsiTheme="majorBidi" w:cstheme="majorBidi"/>
        </w:rPr>
        <w:t>(G)</w:t>
      </w:r>
      <w:r w:rsidR="00FA2853" w:rsidRPr="0093413E">
        <w:rPr>
          <w:rFonts w:asciiTheme="majorBidi" w:hAnsiTheme="majorBidi" w:cstheme="majorBidi"/>
        </w:rPr>
        <w:t xml:space="preserve">. </w:t>
      </w:r>
      <w:r w:rsidR="00496002" w:rsidRPr="0093413E">
        <w:rPr>
          <w:rFonts w:asciiTheme="majorBidi" w:hAnsiTheme="majorBidi" w:cstheme="majorBidi"/>
        </w:rPr>
        <w:t>The Environmental</w:t>
      </w:r>
      <w:r w:rsidR="00EA2822" w:rsidRPr="0093413E">
        <w:rPr>
          <w:rFonts w:asciiTheme="majorBidi" w:hAnsiTheme="majorBidi" w:cstheme="majorBidi"/>
        </w:rPr>
        <w:t>(E)</w:t>
      </w:r>
      <w:r w:rsidR="00496002" w:rsidRPr="0093413E">
        <w:rPr>
          <w:rFonts w:asciiTheme="majorBidi" w:hAnsiTheme="majorBidi" w:cstheme="majorBidi"/>
        </w:rPr>
        <w:t xml:space="preserve"> pillar </w:t>
      </w:r>
      <w:r w:rsidR="00EA2822" w:rsidRPr="0093413E">
        <w:rPr>
          <w:rFonts w:asciiTheme="majorBidi" w:hAnsiTheme="majorBidi" w:cstheme="majorBidi"/>
        </w:rPr>
        <w:t>has</w:t>
      </w:r>
      <w:r w:rsidR="00496002" w:rsidRPr="0093413E">
        <w:rPr>
          <w:rFonts w:asciiTheme="majorBidi" w:hAnsiTheme="majorBidi" w:cstheme="majorBidi"/>
        </w:rPr>
        <w:t xml:space="preserve"> three categories: </w:t>
      </w:r>
      <w:r w:rsidR="004312B7" w:rsidRPr="0093413E">
        <w:rPr>
          <w:rFonts w:asciiTheme="majorBidi" w:hAnsiTheme="majorBidi" w:cstheme="majorBidi"/>
        </w:rPr>
        <w:t xml:space="preserve">Resource Use, Emissions, </w:t>
      </w:r>
      <w:r w:rsidR="00EA2822" w:rsidRPr="0093413E">
        <w:rPr>
          <w:rFonts w:asciiTheme="majorBidi" w:hAnsiTheme="majorBidi" w:cstheme="majorBidi"/>
        </w:rPr>
        <w:t>and Environmental</w:t>
      </w:r>
      <w:r w:rsidR="004312B7" w:rsidRPr="0093413E">
        <w:rPr>
          <w:rFonts w:asciiTheme="majorBidi" w:hAnsiTheme="majorBidi" w:cstheme="majorBidi"/>
        </w:rPr>
        <w:t xml:space="preserve"> Innovation</w:t>
      </w:r>
      <w:r w:rsidR="00EA2822" w:rsidRPr="0093413E">
        <w:rPr>
          <w:rFonts w:asciiTheme="majorBidi" w:hAnsiTheme="majorBidi" w:cstheme="majorBidi"/>
        </w:rPr>
        <w:t xml:space="preserve">. </w:t>
      </w:r>
      <w:r w:rsidR="00C45617" w:rsidRPr="0093413E">
        <w:rPr>
          <w:rFonts w:asciiTheme="majorBidi" w:hAnsiTheme="majorBidi" w:cstheme="majorBidi"/>
        </w:rPr>
        <w:t xml:space="preserve">The Social </w:t>
      </w:r>
      <w:r w:rsidR="00B80E43" w:rsidRPr="0093413E">
        <w:rPr>
          <w:rFonts w:asciiTheme="majorBidi" w:hAnsiTheme="majorBidi" w:cstheme="majorBidi"/>
        </w:rPr>
        <w:t xml:space="preserve">pillar </w:t>
      </w:r>
      <w:r w:rsidR="0011066F" w:rsidRPr="0093413E">
        <w:rPr>
          <w:rFonts w:asciiTheme="majorBidi" w:hAnsiTheme="majorBidi" w:cstheme="majorBidi"/>
        </w:rPr>
        <w:t>comprises</w:t>
      </w:r>
      <w:r w:rsidR="00C45617" w:rsidRPr="0093413E">
        <w:rPr>
          <w:rFonts w:asciiTheme="majorBidi" w:hAnsiTheme="majorBidi" w:cstheme="majorBidi"/>
        </w:rPr>
        <w:t xml:space="preserve"> </w:t>
      </w:r>
      <w:r w:rsidR="00B80E43" w:rsidRPr="0093413E">
        <w:rPr>
          <w:rFonts w:asciiTheme="majorBidi" w:hAnsiTheme="majorBidi" w:cstheme="majorBidi"/>
        </w:rPr>
        <w:t>four</w:t>
      </w:r>
      <w:r w:rsidR="00C45617" w:rsidRPr="0093413E">
        <w:rPr>
          <w:rFonts w:asciiTheme="majorBidi" w:hAnsiTheme="majorBidi" w:cstheme="majorBidi"/>
        </w:rPr>
        <w:t xml:space="preserve"> categories:</w:t>
      </w:r>
      <w:r w:rsidR="00B80E43" w:rsidRPr="0093413E">
        <w:rPr>
          <w:rFonts w:asciiTheme="majorBidi" w:hAnsiTheme="majorBidi" w:cstheme="majorBidi"/>
        </w:rPr>
        <w:t xml:space="preserve"> </w:t>
      </w:r>
      <w:r w:rsidR="00C45617" w:rsidRPr="0093413E">
        <w:rPr>
          <w:rFonts w:asciiTheme="majorBidi" w:hAnsiTheme="majorBidi" w:cstheme="majorBidi"/>
        </w:rPr>
        <w:t xml:space="preserve">Workforce, </w:t>
      </w:r>
      <w:r w:rsidR="00E57FB1" w:rsidRPr="0093413E">
        <w:rPr>
          <w:rFonts w:asciiTheme="majorBidi" w:hAnsiTheme="majorBidi" w:cstheme="majorBidi"/>
        </w:rPr>
        <w:t xml:space="preserve">Human Rights, Community, and Product Responsibility. Finally, The Governance Pillar is based on three categories: Management, Shareholders, and CSR Strategy. </w:t>
      </w:r>
      <w:r w:rsidR="002926C6" w:rsidRPr="0093413E">
        <w:rPr>
          <w:rFonts w:asciiTheme="majorBidi" w:hAnsiTheme="majorBidi" w:cstheme="majorBidi"/>
        </w:rPr>
        <w:t xml:space="preserve">In addition, </w:t>
      </w:r>
      <w:r w:rsidR="00EA2822" w:rsidRPr="0093413E">
        <w:rPr>
          <w:rFonts w:asciiTheme="majorBidi" w:hAnsiTheme="majorBidi" w:cstheme="majorBidi"/>
        </w:rPr>
        <w:t xml:space="preserve">the </w:t>
      </w:r>
      <w:r w:rsidR="002926C6" w:rsidRPr="0093413E">
        <w:rPr>
          <w:rFonts w:asciiTheme="majorBidi" w:hAnsiTheme="majorBidi" w:cstheme="majorBidi"/>
        </w:rPr>
        <w:t>LSEG ESG</w:t>
      </w:r>
      <w:r w:rsidR="00EA2822" w:rsidRPr="0093413E">
        <w:rPr>
          <w:rFonts w:asciiTheme="majorBidi" w:hAnsiTheme="majorBidi" w:cstheme="majorBidi"/>
        </w:rPr>
        <w:t xml:space="preserve"> dataset</w:t>
      </w:r>
      <w:r w:rsidR="002926C6" w:rsidRPr="0093413E">
        <w:rPr>
          <w:rFonts w:asciiTheme="majorBidi" w:hAnsiTheme="majorBidi" w:cstheme="majorBidi"/>
        </w:rPr>
        <w:t xml:space="preserve"> provides an overall ESG combined score (</w:t>
      </w:r>
      <w:r w:rsidR="63440B45" w:rsidRPr="0093413E">
        <w:rPr>
          <w:rFonts w:asciiTheme="majorBidi" w:hAnsiTheme="majorBidi" w:cstheme="majorBidi"/>
        </w:rPr>
        <w:t xml:space="preserve">see </w:t>
      </w:r>
      <w:r w:rsidR="002926C6" w:rsidRPr="0093413E">
        <w:rPr>
          <w:rFonts w:asciiTheme="majorBidi" w:hAnsiTheme="majorBidi" w:cstheme="majorBidi"/>
        </w:rPr>
        <w:t>ESGC</w:t>
      </w:r>
      <w:r w:rsidR="00EA2822" w:rsidRPr="0093413E">
        <w:rPr>
          <w:rFonts w:asciiTheme="majorBidi" w:hAnsiTheme="majorBidi" w:cstheme="majorBidi"/>
        </w:rPr>
        <w:t xml:space="preserve"> -</w:t>
      </w:r>
      <w:r w:rsidR="00354877" w:rsidRPr="0093413E">
        <w:rPr>
          <w:rFonts w:asciiTheme="majorBidi" w:hAnsiTheme="majorBidi" w:cstheme="majorBidi"/>
        </w:rPr>
        <w:t xml:space="preserve"> </w:t>
      </w:r>
      <w:r w:rsidR="00EA2822" w:rsidRPr="0093413E">
        <w:rPr>
          <w:rFonts w:asciiTheme="majorBidi" w:hAnsiTheme="majorBidi" w:cstheme="majorBidi"/>
        </w:rPr>
        <w:t>Figure 2)</w:t>
      </w:r>
      <w:r w:rsidR="002926C6" w:rsidRPr="0093413E">
        <w:rPr>
          <w:rFonts w:asciiTheme="majorBidi" w:hAnsiTheme="majorBidi" w:cstheme="majorBidi"/>
        </w:rPr>
        <w:t>, which adjusts the ESG score to account for news controversies that significantly impact corporations.</w:t>
      </w:r>
      <w:r w:rsidR="00A94782" w:rsidRPr="0093413E">
        <w:rPr>
          <w:rFonts w:asciiTheme="majorBidi" w:hAnsiTheme="majorBidi" w:cstheme="majorBidi"/>
        </w:rPr>
        <w:t xml:space="preserve"> All ESG variable definitions are presented in Appendi</w:t>
      </w:r>
      <w:r w:rsidR="00EA2822" w:rsidRPr="0093413E">
        <w:rPr>
          <w:rFonts w:asciiTheme="majorBidi" w:hAnsiTheme="majorBidi" w:cstheme="majorBidi"/>
        </w:rPr>
        <w:t>ces</w:t>
      </w:r>
      <w:r w:rsidR="00A94782" w:rsidRPr="0093413E">
        <w:rPr>
          <w:rFonts w:asciiTheme="majorBidi" w:hAnsiTheme="majorBidi" w:cstheme="majorBidi"/>
        </w:rPr>
        <w:t xml:space="preserve"> A and B.</w:t>
      </w:r>
    </w:p>
    <w:p w14:paraId="61116166" w14:textId="77777777" w:rsidR="009E0212" w:rsidRPr="0093413E" w:rsidRDefault="009E0212" w:rsidP="005853BF">
      <w:pPr>
        <w:pStyle w:val="NormalWeb"/>
        <w:spacing w:before="0" w:beforeAutospacing="0" w:after="0" w:afterAutospacing="0"/>
        <w:ind w:firstLine="432"/>
        <w:jc w:val="both"/>
        <w:rPr>
          <w:rFonts w:asciiTheme="majorBidi" w:hAnsiTheme="majorBidi" w:cstheme="majorBidi"/>
        </w:rPr>
      </w:pPr>
      <w:r w:rsidRPr="0093413E">
        <w:rPr>
          <w:rFonts w:asciiTheme="majorBidi" w:hAnsiTheme="majorBidi" w:cstheme="majorBidi"/>
        </w:rPr>
        <w:t>The ESG dataset covers public companies worldwide, with some data from 2003. Overall, it collects and computes more than 630 company-level ESG metrics. A subset of these metrics (186 comparable metrics - Figure 1) is used to reformulate the three pillars - environmental, social, and corporate governance- scores and the final ESG score, which reflects the company’s ESG performance.</w:t>
      </w:r>
    </w:p>
    <w:p w14:paraId="7F9DC109" w14:textId="61633A95" w:rsidR="00977590" w:rsidRPr="0093413E" w:rsidRDefault="009B55D4" w:rsidP="005853BF">
      <w:pPr>
        <w:pStyle w:val="NormalWeb"/>
        <w:spacing w:before="0" w:beforeAutospacing="0" w:after="0" w:afterAutospacing="0"/>
        <w:ind w:firstLine="432"/>
        <w:jc w:val="both"/>
        <w:rPr>
          <w:rFonts w:asciiTheme="majorBidi" w:hAnsiTheme="majorBidi" w:cstheme="majorBidi"/>
          <w14:ligatures w14:val="standardContextual"/>
        </w:rPr>
      </w:pPr>
      <w:r w:rsidRPr="0093413E">
        <w:rPr>
          <w:rFonts w:asciiTheme="majorBidi" w:hAnsiTheme="majorBidi" w:cstheme="majorBidi"/>
          <w14:ligatures w14:val="standardContextual"/>
        </w:rPr>
        <w:t>The</w:t>
      </w:r>
      <w:r w:rsidR="00AC29EE" w:rsidRPr="0093413E">
        <w:rPr>
          <w:rFonts w:asciiTheme="majorBidi" w:hAnsiTheme="majorBidi" w:cstheme="majorBidi"/>
          <w14:ligatures w14:val="standardContextual"/>
        </w:rPr>
        <w:t xml:space="preserve"> initial sample of </w:t>
      </w:r>
      <w:r w:rsidR="00E814D8" w:rsidRPr="0093413E">
        <w:rPr>
          <w:rFonts w:asciiTheme="majorBidi" w:hAnsiTheme="majorBidi" w:cstheme="majorBidi"/>
          <w14:ligatures w14:val="standardContextual"/>
        </w:rPr>
        <w:t xml:space="preserve">U.S. </w:t>
      </w:r>
      <w:r w:rsidR="009E0212" w:rsidRPr="0093413E">
        <w:rPr>
          <w:rFonts w:asciiTheme="majorBidi" w:hAnsiTheme="majorBidi" w:cstheme="majorBidi"/>
          <w14:ligatures w14:val="standardContextual"/>
        </w:rPr>
        <w:t>Bonds</w:t>
      </w:r>
      <w:r w:rsidR="00E814D8" w:rsidRPr="0093413E">
        <w:rPr>
          <w:rFonts w:asciiTheme="majorBidi" w:hAnsiTheme="majorBidi" w:cstheme="majorBidi"/>
          <w14:ligatures w14:val="standardContextual"/>
        </w:rPr>
        <w:t xml:space="preserve"> offerings </w:t>
      </w:r>
      <w:r w:rsidR="00AC29EE" w:rsidRPr="0093413E">
        <w:rPr>
          <w:rFonts w:asciiTheme="majorBidi" w:hAnsiTheme="majorBidi" w:cstheme="majorBidi"/>
          <w14:ligatures w14:val="standardContextual"/>
        </w:rPr>
        <w:t xml:space="preserve">is from the </w:t>
      </w:r>
      <w:r w:rsidR="008527E8" w:rsidRPr="0093413E">
        <w:rPr>
          <w:rFonts w:asciiTheme="majorBidi" w:hAnsiTheme="majorBidi" w:cstheme="majorBidi"/>
          <w14:ligatures w14:val="standardContextual"/>
        </w:rPr>
        <w:t>LSEG</w:t>
      </w:r>
      <w:r w:rsidR="001F190C" w:rsidRPr="0093413E">
        <w:rPr>
          <w:rFonts w:asciiTheme="majorBidi" w:hAnsiTheme="majorBidi" w:cstheme="majorBidi"/>
          <w14:ligatures w14:val="standardContextual"/>
        </w:rPr>
        <w:t xml:space="preserve"> </w:t>
      </w:r>
      <w:r w:rsidR="00DF0338" w:rsidRPr="0093413E">
        <w:rPr>
          <w:rFonts w:asciiTheme="majorBidi" w:hAnsiTheme="majorBidi" w:cstheme="majorBidi"/>
          <w14:ligatures w14:val="standardContextual"/>
        </w:rPr>
        <w:t>deals database</w:t>
      </w:r>
      <w:r w:rsidR="00765B4B" w:rsidRPr="0093413E">
        <w:rPr>
          <w:rFonts w:asciiTheme="majorBidi" w:hAnsiTheme="majorBidi" w:cstheme="majorBidi"/>
          <w14:ligatures w14:val="standardContextual"/>
        </w:rPr>
        <w:t>.</w:t>
      </w:r>
      <w:r w:rsidR="00D964FC" w:rsidRPr="0093413E">
        <w:rPr>
          <w:rFonts w:asciiTheme="majorBidi" w:hAnsiTheme="majorBidi" w:cstheme="majorBidi"/>
          <w14:ligatures w14:val="standardContextual"/>
        </w:rPr>
        <w:t xml:space="preserve"> </w:t>
      </w:r>
      <w:r w:rsidR="008527E8" w:rsidRPr="0093413E">
        <w:rPr>
          <w:rFonts w:asciiTheme="majorBidi" w:hAnsiTheme="majorBidi" w:cstheme="majorBidi"/>
          <w14:ligatures w14:val="standardContextual"/>
        </w:rPr>
        <w:t>LSEG</w:t>
      </w:r>
      <w:r w:rsidR="00D737A7" w:rsidRPr="0093413E">
        <w:rPr>
          <w:rFonts w:asciiTheme="majorBidi" w:hAnsiTheme="majorBidi" w:cstheme="majorBidi"/>
          <w14:ligatures w14:val="standardContextual"/>
        </w:rPr>
        <w:t xml:space="preserve"> </w:t>
      </w:r>
      <w:r w:rsidR="00972D3C" w:rsidRPr="0093413E">
        <w:rPr>
          <w:rFonts w:asciiTheme="majorBidi" w:hAnsiTheme="majorBidi" w:cstheme="majorBidi"/>
          <w14:ligatures w14:val="standardContextual"/>
        </w:rPr>
        <w:t xml:space="preserve">Datastream provides </w:t>
      </w:r>
      <w:r w:rsidR="008A77D4" w:rsidRPr="0093413E">
        <w:rPr>
          <w:rFonts w:asciiTheme="majorBidi" w:hAnsiTheme="majorBidi" w:cstheme="majorBidi"/>
          <w14:ligatures w14:val="standardContextual"/>
        </w:rPr>
        <w:t xml:space="preserve">data on </w:t>
      </w:r>
      <w:r w:rsidR="005244DF" w:rsidRPr="0093413E">
        <w:rPr>
          <w:rFonts w:asciiTheme="majorBidi" w:hAnsiTheme="majorBidi" w:cstheme="majorBidi"/>
          <w14:ligatures w14:val="standardContextual"/>
        </w:rPr>
        <w:t>Bonds offerings</w:t>
      </w:r>
      <w:r w:rsidR="008A77D4" w:rsidRPr="0093413E">
        <w:rPr>
          <w:rFonts w:asciiTheme="majorBidi" w:hAnsiTheme="majorBidi" w:cstheme="majorBidi"/>
          <w14:ligatures w14:val="standardContextual"/>
        </w:rPr>
        <w:t xml:space="preserve"> and ma</w:t>
      </w:r>
      <w:r w:rsidR="00F433FF" w:rsidRPr="0093413E">
        <w:rPr>
          <w:rFonts w:asciiTheme="majorBidi" w:hAnsiTheme="majorBidi" w:cstheme="majorBidi"/>
          <w14:ligatures w14:val="standardContextual"/>
        </w:rPr>
        <w:t>rket index</w:t>
      </w:r>
      <w:r w:rsidR="008A77D4" w:rsidRPr="0093413E">
        <w:rPr>
          <w:rFonts w:asciiTheme="majorBidi" w:hAnsiTheme="majorBidi" w:cstheme="majorBidi"/>
          <w14:ligatures w14:val="standardContextual"/>
        </w:rPr>
        <w:t xml:space="preserve"> returns</w:t>
      </w:r>
      <w:r w:rsidR="009E06FF" w:rsidRPr="0093413E">
        <w:rPr>
          <w:rFonts w:asciiTheme="majorBidi" w:hAnsiTheme="majorBidi" w:cstheme="majorBidi"/>
          <w14:ligatures w14:val="standardContextual"/>
        </w:rPr>
        <w:t>.</w:t>
      </w:r>
      <w:r w:rsidR="00977590" w:rsidRPr="0093413E">
        <w:rPr>
          <w:rFonts w:asciiTheme="majorBidi" w:hAnsiTheme="majorBidi" w:cstheme="majorBidi"/>
          <w14:ligatures w14:val="standardContextual"/>
        </w:rPr>
        <w:t xml:space="preserve"> LS</w:t>
      </w:r>
      <w:r w:rsidR="007D63E6" w:rsidRPr="0093413E">
        <w:rPr>
          <w:rFonts w:asciiTheme="majorBidi" w:hAnsiTheme="majorBidi" w:cstheme="majorBidi"/>
          <w14:ligatures w14:val="standardContextual"/>
        </w:rPr>
        <w:t xml:space="preserve">EG World scope </w:t>
      </w:r>
      <w:r w:rsidR="00EC6048" w:rsidRPr="0093413E">
        <w:rPr>
          <w:rFonts w:asciiTheme="majorBidi" w:hAnsiTheme="majorBidi" w:cstheme="majorBidi"/>
          <w14:ligatures w14:val="standardContextual"/>
        </w:rPr>
        <w:t xml:space="preserve">database </w:t>
      </w:r>
      <w:r w:rsidR="004A6511" w:rsidRPr="0093413E">
        <w:rPr>
          <w:rFonts w:asciiTheme="majorBidi" w:hAnsiTheme="majorBidi" w:cstheme="majorBidi"/>
          <w14:ligatures w14:val="standardContextual"/>
        </w:rPr>
        <w:t xml:space="preserve">provides </w:t>
      </w:r>
      <w:r w:rsidR="007D63E6" w:rsidRPr="0093413E">
        <w:rPr>
          <w:rFonts w:asciiTheme="majorBidi" w:hAnsiTheme="majorBidi" w:cstheme="majorBidi"/>
          <w14:ligatures w14:val="standardContextual"/>
        </w:rPr>
        <w:t>financial data</w:t>
      </w:r>
      <w:r w:rsidR="004A6511" w:rsidRPr="0093413E">
        <w:rPr>
          <w:rFonts w:asciiTheme="majorBidi" w:hAnsiTheme="majorBidi" w:cstheme="majorBidi"/>
          <w14:ligatures w14:val="standardContextual"/>
        </w:rPr>
        <w:t xml:space="preserve"> </w:t>
      </w:r>
      <w:r w:rsidR="001E2E39" w:rsidRPr="0093413E">
        <w:rPr>
          <w:rFonts w:asciiTheme="majorBidi" w:hAnsiTheme="majorBidi" w:cstheme="majorBidi"/>
          <w14:ligatures w14:val="standardContextual"/>
        </w:rPr>
        <w:t>for</w:t>
      </w:r>
      <w:r w:rsidR="004A6511" w:rsidRPr="0093413E">
        <w:rPr>
          <w:rFonts w:asciiTheme="majorBidi" w:hAnsiTheme="majorBidi" w:cstheme="majorBidi"/>
          <w14:ligatures w14:val="standardContextual"/>
        </w:rPr>
        <w:t xml:space="preserve"> the </w:t>
      </w:r>
      <w:r w:rsidR="00EC6048" w:rsidRPr="0093413E">
        <w:rPr>
          <w:rFonts w:asciiTheme="majorBidi" w:hAnsiTheme="majorBidi" w:cstheme="majorBidi"/>
          <w14:ligatures w14:val="standardContextual"/>
        </w:rPr>
        <w:t xml:space="preserve">bond </w:t>
      </w:r>
      <w:r w:rsidR="005244DF" w:rsidRPr="0093413E">
        <w:rPr>
          <w:rFonts w:asciiTheme="majorBidi" w:hAnsiTheme="majorBidi" w:cstheme="majorBidi"/>
          <w14:ligatures w14:val="standardContextual"/>
        </w:rPr>
        <w:t>issuer</w:t>
      </w:r>
      <w:r w:rsidR="004A6511" w:rsidRPr="0093413E">
        <w:rPr>
          <w:rFonts w:asciiTheme="majorBidi" w:hAnsiTheme="majorBidi" w:cstheme="majorBidi"/>
          <w14:ligatures w14:val="standardContextual"/>
        </w:rPr>
        <w:t xml:space="preserve"> companies</w:t>
      </w:r>
      <w:r w:rsidR="00765B4B" w:rsidRPr="0093413E">
        <w:rPr>
          <w:rFonts w:asciiTheme="majorBidi" w:hAnsiTheme="majorBidi" w:cstheme="majorBidi"/>
          <w14:ligatures w14:val="standardContextual"/>
        </w:rPr>
        <w:t>.</w:t>
      </w:r>
    </w:p>
    <w:p w14:paraId="01F944D9" w14:textId="0487AF66" w:rsidR="00722F18" w:rsidRPr="0093413E" w:rsidRDefault="009B55D4" w:rsidP="005853BF">
      <w:pPr>
        <w:widowControl/>
        <w:adjustRightInd w:val="0"/>
        <w:jc w:val="both"/>
        <w:rPr>
          <w:rFonts w:asciiTheme="majorBidi" w:hAnsiTheme="majorBidi" w:cstheme="majorBidi"/>
          <w:sz w:val="24"/>
          <w:szCs w:val="24"/>
        </w:rPr>
      </w:pPr>
      <w:r w:rsidRPr="0093413E">
        <w:rPr>
          <w:rFonts w:asciiTheme="majorBidi" w:hAnsiTheme="majorBidi" w:cstheme="majorBidi"/>
          <w:sz w:val="24"/>
          <w:szCs w:val="24"/>
        </w:rPr>
        <w:t xml:space="preserve">The </w:t>
      </w:r>
      <w:r w:rsidR="00C44591" w:rsidRPr="0093413E">
        <w:rPr>
          <w:rFonts w:asciiTheme="majorBidi" w:hAnsiTheme="majorBidi" w:cstheme="majorBidi"/>
          <w:sz w:val="24"/>
          <w:szCs w:val="24"/>
        </w:rPr>
        <w:t>sample</w:t>
      </w:r>
      <w:r w:rsidRPr="0093413E">
        <w:rPr>
          <w:rFonts w:asciiTheme="majorBidi" w:hAnsiTheme="majorBidi" w:cstheme="majorBidi"/>
          <w:sz w:val="24"/>
          <w:szCs w:val="24"/>
        </w:rPr>
        <w:t xml:space="preserve"> starts</w:t>
      </w:r>
      <w:r w:rsidR="00C44591" w:rsidRPr="0093413E">
        <w:rPr>
          <w:rFonts w:asciiTheme="majorBidi" w:hAnsiTheme="majorBidi" w:cstheme="majorBidi"/>
          <w:sz w:val="24"/>
          <w:szCs w:val="24"/>
        </w:rPr>
        <w:t xml:space="preserve"> in 200</w:t>
      </w:r>
      <w:r w:rsidR="00EC6048" w:rsidRPr="0093413E">
        <w:rPr>
          <w:rFonts w:asciiTheme="majorBidi" w:hAnsiTheme="majorBidi" w:cstheme="majorBidi"/>
          <w:sz w:val="24"/>
          <w:szCs w:val="24"/>
        </w:rPr>
        <w:t>4</w:t>
      </w:r>
      <w:r w:rsidR="00C44591" w:rsidRPr="0093413E">
        <w:rPr>
          <w:rFonts w:asciiTheme="majorBidi" w:hAnsiTheme="majorBidi" w:cstheme="majorBidi"/>
          <w:sz w:val="24"/>
          <w:szCs w:val="24"/>
        </w:rPr>
        <w:t xml:space="preserve">, </w:t>
      </w:r>
      <w:r w:rsidR="008A4942" w:rsidRPr="0093413E">
        <w:rPr>
          <w:rFonts w:asciiTheme="majorBidi" w:hAnsiTheme="majorBidi" w:cstheme="majorBidi"/>
          <w:sz w:val="24"/>
          <w:szCs w:val="24"/>
        </w:rPr>
        <w:t>which is when</w:t>
      </w:r>
      <w:r w:rsidR="00C44591" w:rsidRPr="0093413E">
        <w:rPr>
          <w:rFonts w:asciiTheme="majorBidi" w:hAnsiTheme="majorBidi" w:cstheme="majorBidi"/>
          <w:sz w:val="24"/>
          <w:szCs w:val="24"/>
        </w:rPr>
        <w:t xml:space="preserve"> the coverage of U</w:t>
      </w:r>
      <w:r w:rsidR="00354877" w:rsidRPr="0093413E">
        <w:rPr>
          <w:rFonts w:asciiTheme="majorBidi" w:hAnsiTheme="majorBidi" w:cstheme="majorBidi"/>
          <w:sz w:val="24"/>
          <w:szCs w:val="24"/>
        </w:rPr>
        <w:t>.</w:t>
      </w:r>
      <w:r w:rsidR="00C44591" w:rsidRPr="0093413E">
        <w:rPr>
          <w:rFonts w:asciiTheme="majorBidi" w:hAnsiTheme="majorBidi" w:cstheme="majorBidi"/>
          <w:sz w:val="24"/>
          <w:szCs w:val="24"/>
        </w:rPr>
        <w:t>S</w:t>
      </w:r>
      <w:r w:rsidR="00354877" w:rsidRPr="0093413E">
        <w:rPr>
          <w:rFonts w:asciiTheme="majorBidi" w:hAnsiTheme="majorBidi" w:cstheme="majorBidi"/>
          <w:sz w:val="24"/>
          <w:szCs w:val="24"/>
        </w:rPr>
        <w:t>.</w:t>
      </w:r>
      <w:r w:rsidR="00C44591" w:rsidRPr="0093413E">
        <w:rPr>
          <w:rFonts w:asciiTheme="majorBidi" w:hAnsiTheme="majorBidi" w:cstheme="majorBidi"/>
          <w:sz w:val="24"/>
          <w:szCs w:val="24"/>
        </w:rPr>
        <w:t xml:space="preserve"> firms in the </w:t>
      </w:r>
      <w:r w:rsidR="008527E8" w:rsidRPr="0093413E">
        <w:rPr>
          <w:rFonts w:asciiTheme="majorBidi" w:hAnsiTheme="majorBidi" w:cstheme="majorBidi"/>
          <w:sz w:val="24"/>
          <w:szCs w:val="24"/>
        </w:rPr>
        <w:t>LSEG</w:t>
      </w:r>
      <w:r w:rsidR="00C44591" w:rsidRPr="0093413E">
        <w:rPr>
          <w:rFonts w:asciiTheme="majorBidi" w:hAnsiTheme="majorBidi" w:cstheme="majorBidi"/>
          <w:sz w:val="24"/>
          <w:szCs w:val="24"/>
        </w:rPr>
        <w:t xml:space="preserve"> ESG database </w:t>
      </w:r>
      <w:r w:rsidR="008A4942" w:rsidRPr="0093413E">
        <w:rPr>
          <w:rFonts w:asciiTheme="majorBidi" w:hAnsiTheme="majorBidi" w:cstheme="majorBidi"/>
          <w:sz w:val="24"/>
          <w:szCs w:val="24"/>
        </w:rPr>
        <w:t>became more</w:t>
      </w:r>
      <w:r w:rsidR="00C44591" w:rsidRPr="0093413E">
        <w:rPr>
          <w:rFonts w:asciiTheme="majorBidi" w:hAnsiTheme="majorBidi" w:cstheme="majorBidi"/>
          <w:sz w:val="24"/>
          <w:szCs w:val="24"/>
        </w:rPr>
        <w:t xml:space="preserve"> comprehensive.</w:t>
      </w:r>
      <w:r w:rsidR="00F026BB" w:rsidRPr="0093413E">
        <w:rPr>
          <w:rFonts w:asciiTheme="majorBidi" w:hAnsiTheme="majorBidi" w:cstheme="majorBidi"/>
          <w:sz w:val="24"/>
          <w:szCs w:val="24"/>
        </w:rPr>
        <w:t xml:space="preserve"> </w:t>
      </w:r>
      <w:r w:rsidR="00831B2D" w:rsidRPr="0093413E">
        <w:rPr>
          <w:rFonts w:asciiTheme="majorBidi" w:hAnsiTheme="majorBidi" w:cstheme="majorBidi"/>
          <w:sz w:val="24"/>
          <w:szCs w:val="24"/>
        </w:rPr>
        <w:t>The</w:t>
      </w:r>
      <w:r w:rsidR="00350D4B" w:rsidRPr="0093413E">
        <w:rPr>
          <w:rFonts w:asciiTheme="majorBidi" w:hAnsiTheme="majorBidi" w:cstheme="majorBidi"/>
          <w:sz w:val="24"/>
          <w:szCs w:val="24"/>
        </w:rPr>
        <w:t xml:space="preserve"> initial sample consists of all observations for </w:t>
      </w:r>
      <w:r w:rsidR="00076364" w:rsidRPr="0093413E">
        <w:rPr>
          <w:rFonts w:asciiTheme="majorBidi" w:hAnsiTheme="majorBidi" w:cstheme="majorBidi"/>
          <w:sz w:val="24"/>
          <w:szCs w:val="24"/>
        </w:rPr>
        <w:t>U.S. Bonds offerings</w:t>
      </w:r>
      <w:r w:rsidR="00350D4B" w:rsidRPr="0093413E">
        <w:rPr>
          <w:rFonts w:asciiTheme="majorBidi" w:hAnsiTheme="majorBidi" w:cstheme="majorBidi"/>
          <w:sz w:val="24"/>
          <w:szCs w:val="24"/>
        </w:rPr>
        <w:t xml:space="preserve"> in the SDC Global New Issues database from 200</w:t>
      </w:r>
      <w:r w:rsidR="00076364" w:rsidRPr="0093413E">
        <w:rPr>
          <w:rFonts w:asciiTheme="majorBidi" w:hAnsiTheme="majorBidi" w:cstheme="majorBidi"/>
          <w:sz w:val="24"/>
          <w:szCs w:val="24"/>
        </w:rPr>
        <w:t>4</w:t>
      </w:r>
      <w:r w:rsidR="00350D4B" w:rsidRPr="0093413E">
        <w:rPr>
          <w:rFonts w:asciiTheme="majorBidi" w:hAnsiTheme="majorBidi" w:cstheme="majorBidi"/>
          <w:sz w:val="24"/>
          <w:szCs w:val="24"/>
        </w:rPr>
        <w:t xml:space="preserve"> to 2021. </w:t>
      </w:r>
      <w:r w:rsidR="00831B2D" w:rsidRPr="0093413E">
        <w:rPr>
          <w:rFonts w:asciiTheme="majorBidi" w:hAnsiTheme="majorBidi" w:cstheme="majorBidi"/>
          <w:sz w:val="24"/>
          <w:szCs w:val="24"/>
        </w:rPr>
        <w:t>The samp</w:t>
      </w:r>
      <w:r w:rsidR="00550A8F" w:rsidRPr="0093413E">
        <w:rPr>
          <w:rFonts w:asciiTheme="majorBidi" w:hAnsiTheme="majorBidi" w:cstheme="majorBidi"/>
          <w:sz w:val="24"/>
          <w:szCs w:val="24"/>
        </w:rPr>
        <w:t>l</w:t>
      </w:r>
      <w:r w:rsidR="00831B2D" w:rsidRPr="0093413E">
        <w:rPr>
          <w:rFonts w:asciiTheme="majorBidi" w:hAnsiTheme="majorBidi" w:cstheme="majorBidi"/>
          <w:sz w:val="24"/>
          <w:szCs w:val="24"/>
        </w:rPr>
        <w:t xml:space="preserve">e </w:t>
      </w:r>
      <w:r w:rsidR="00550A8F" w:rsidRPr="0093413E">
        <w:rPr>
          <w:rFonts w:asciiTheme="majorBidi" w:hAnsiTheme="majorBidi" w:cstheme="majorBidi"/>
          <w:sz w:val="24"/>
          <w:szCs w:val="24"/>
        </w:rPr>
        <w:t>excludes </w:t>
      </w:r>
      <w:r w:rsidR="004523A0" w:rsidRPr="0093413E">
        <w:rPr>
          <w:rFonts w:asciiTheme="majorBidi" w:hAnsiTheme="majorBidi" w:cstheme="majorBidi"/>
          <w:sz w:val="24"/>
          <w:szCs w:val="24"/>
        </w:rPr>
        <w:t xml:space="preserve">bonds issued </w:t>
      </w:r>
      <w:r w:rsidR="00864E04" w:rsidRPr="0093413E">
        <w:rPr>
          <w:rFonts w:asciiTheme="majorBidi" w:hAnsiTheme="majorBidi" w:cstheme="majorBidi"/>
          <w:sz w:val="24"/>
          <w:szCs w:val="24"/>
        </w:rPr>
        <w:t xml:space="preserve">by </w:t>
      </w:r>
      <w:r w:rsidR="00BC1D95" w:rsidRPr="0093413E">
        <w:rPr>
          <w:rFonts w:asciiTheme="majorBidi" w:hAnsiTheme="majorBidi" w:cstheme="majorBidi"/>
          <w:sz w:val="24"/>
          <w:szCs w:val="24"/>
        </w:rPr>
        <w:t xml:space="preserve">financial </w:t>
      </w:r>
      <w:r w:rsidR="00CA329F" w:rsidRPr="0093413E">
        <w:rPr>
          <w:rFonts w:asciiTheme="majorBidi" w:hAnsiTheme="majorBidi" w:cstheme="majorBidi"/>
          <w:sz w:val="24"/>
          <w:szCs w:val="24"/>
        </w:rPr>
        <w:t>firms</w:t>
      </w:r>
      <w:r w:rsidR="009C5EC8" w:rsidRPr="0093413E">
        <w:rPr>
          <w:rFonts w:asciiTheme="majorBidi" w:hAnsiTheme="majorBidi" w:cstheme="majorBidi"/>
          <w:sz w:val="24"/>
          <w:szCs w:val="24"/>
        </w:rPr>
        <w:t>,</w:t>
      </w:r>
      <w:r w:rsidR="00BC1D95" w:rsidRPr="0093413E">
        <w:rPr>
          <w:rFonts w:asciiTheme="majorBidi" w:hAnsiTheme="majorBidi" w:cstheme="majorBidi"/>
          <w:sz w:val="24"/>
          <w:szCs w:val="24"/>
        </w:rPr>
        <w:t xml:space="preserve"> utility </w:t>
      </w:r>
      <w:r w:rsidR="00B33B6D" w:rsidRPr="0093413E">
        <w:rPr>
          <w:rFonts w:asciiTheme="majorBidi" w:hAnsiTheme="majorBidi" w:cstheme="majorBidi"/>
          <w:sz w:val="24"/>
          <w:szCs w:val="24"/>
        </w:rPr>
        <w:t>firms</w:t>
      </w:r>
      <w:r w:rsidR="00BC1D95" w:rsidRPr="0093413E">
        <w:rPr>
          <w:rFonts w:asciiTheme="majorBidi" w:hAnsiTheme="majorBidi" w:cstheme="majorBidi"/>
          <w:sz w:val="24"/>
          <w:szCs w:val="24"/>
        </w:rPr>
        <w:t>,</w:t>
      </w:r>
      <w:r w:rsidR="009C5EC8" w:rsidRPr="0093413E">
        <w:rPr>
          <w:rFonts w:asciiTheme="majorBidi" w:hAnsiTheme="majorBidi" w:cstheme="majorBidi"/>
          <w:sz w:val="24"/>
          <w:szCs w:val="24"/>
        </w:rPr>
        <w:t xml:space="preserve"> </w:t>
      </w:r>
      <w:r w:rsidR="00E0195E" w:rsidRPr="0093413E">
        <w:rPr>
          <w:rFonts w:asciiTheme="majorBidi" w:hAnsiTheme="majorBidi" w:cstheme="majorBidi"/>
          <w:sz w:val="24"/>
          <w:szCs w:val="24"/>
        </w:rPr>
        <w:t xml:space="preserve">and </w:t>
      </w:r>
      <w:r w:rsidR="009C5EC8" w:rsidRPr="0093413E">
        <w:rPr>
          <w:rFonts w:asciiTheme="majorBidi" w:hAnsiTheme="majorBidi" w:cstheme="majorBidi"/>
          <w:sz w:val="24"/>
          <w:szCs w:val="24"/>
        </w:rPr>
        <w:t xml:space="preserve">private </w:t>
      </w:r>
      <w:r w:rsidR="00490B52" w:rsidRPr="0093413E">
        <w:rPr>
          <w:rFonts w:asciiTheme="majorBidi" w:hAnsiTheme="majorBidi" w:cstheme="majorBidi"/>
          <w:sz w:val="24"/>
          <w:szCs w:val="24"/>
        </w:rPr>
        <w:t>placements,</w:t>
      </w:r>
      <w:r w:rsidR="00C82F25" w:rsidRPr="0093413E">
        <w:rPr>
          <w:rFonts w:asciiTheme="majorBidi" w:hAnsiTheme="majorBidi" w:cstheme="majorBidi"/>
          <w:sz w:val="24"/>
          <w:szCs w:val="24"/>
        </w:rPr>
        <w:t xml:space="preserve"> </w:t>
      </w:r>
      <w:r w:rsidR="00D70FA0" w:rsidRPr="0093413E">
        <w:rPr>
          <w:rFonts w:asciiTheme="majorBidi" w:hAnsiTheme="majorBidi" w:cstheme="majorBidi"/>
          <w:sz w:val="24"/>
          <w:szCs w:val="24"/>
        </w:rPr>
        <w:t xml:space="preserve">we </w:t>
      </w:r>
      <w:r w:rsidR="00863BEA" w:rsidRPr="0093413E">
        <w:rPr>
          <w:rFonts w:asciiTheme="majorBidi" w:hAnsiTheme="majorBidi" w:cstheme="majorBidi"/>
          <w:sz w:val="24"/>
          <w:szCs w:val="24"/>
        </w:rPr>
        <w:t xml:space="preserve">include only </w:t>
      </w:r>
      <w:r w:rsidR="00D70FA0" w:rsidRPr="0093413E">
        <w:rPr>
          <w:rFonts w:asciiTheme="majorBidi" w:hAnsiTheme="majorBidi" w:cstheme="majorBidi"/>
          <w:sz w:val="24"/>
          <w:szCs w:val="24"/>
        </w:rPr>
        <w:t xml:space="preserve"> </w:t>
      </w:r>
      <w:r w:rsidR="00403D6F" w:rsidRPr="0093413E">
        <w:rPr>
          <w:rFonts w:asciiTheme="majorBidi" w:hAnsiTheme="majorBidi" w:cstheme="majorBidi"/>
          <w:sz w:val="24"/>
          <w:szCs w:val="24"/>
        </w:rPr>
        <w:t xml:space="preserve">straight  fixed rate corporate bonds . </w:t>
      </w:r>
      <w:r w:rsidR="00417CC5" w:rsidRPr="0093413E">
        <w:rPr>
          <w:rFonts w:asciiTheme="majorBidi" w:hAnsiTheme="majorBidi" w:cstheme="majorBidi"/>
          <w:sz w:val="24"/>
          <w:szCs w:val="24"/>
        </w:rPr>
        <w:t>With</w:t>
      </w:r>
      <w:r w:rsidR="005E5B39" w:rsidRPr="0093413E">
        <w:rPr>
          <w:rFonts w:asciiTheme="majorBidi" w:hAnsiTheme="majorBidi" w:cstheme="majorBidi"/>
          <w:sz w:val="24"/>
          <w:szCs w:val="24"/>
        </w:rPr>
        <w:t>in</w:t>
      </w:r>
      <w:r w:rsidR="00417CC5" w:rsidRPr="0093413E">
        <w:rPr>
          <w:rFonts w:asciiTheme="majorBidi" w:hAnsiTheme="majorBidi" w:cstheme="majorBidi"/>
          <w:sz w:val="24"/>
          <w:szCs w:val="24"/>
        </w:rPr>
        <w:t xml:space="preserve"> straight  fixed rate corporate bonds  we include bonds </w:t>
      </w:r>
      <w:r w:rsidR="00804F90" w:rsidRPr="0093413E">
        <w:rPr>
          <w:rFonts w:asciiTheme="majorBidi" w:hAnsiTheme="majorBidi" w:cstheme="majorBidi"/>
          <w:sz w:val="24"/>
          <w:szCs w:val="24"/>
        </w:rPr>
        <w:t xml:space="preserve">with </w:t>
      </w:r>
      <w:r w:rsidR="00417CC5" w:rsidRPr="0093413E">
        <w:rPr>
          <w:rFonts w:asciiTheme="majorBidi" w:hAnsiTheme="majorBidi" w:cstheme="majorBidi"/>
          <w:sz w:val="24"/>
          <w:szCs w:val="24"/>
        </w:rPr>
        <w:t xml:space="preserve"> issuance </w:t>
      </w:r>
      <w:r w:rsidR="005E5B39" w:rsidRPr="0093413E">
        <w:rPr>
          <w:rFonts w:asciiTheme="majorBidi" w:hAnsiTheme="majorBidi" w:cstheme="majorBidi"/>
          <w:sz w:val="24"/>
          <w:szCs w:val="24"/>
        </w:rPr>
        <w:lastRenderedPageBreak/>
        <w:t>amount</w:t>
      </w:r>
      <w:r w:rsidR="00767393" w:rsidRPr="0093413E">
        <w:rPr>
          <w:rFonts w:asciiTheme="majorBidi" w:hAnsiTheme="majorBidi" w:cstheme="majorBidi"/>
          <w:sz w:val="24"/>
          <w:szCs w:val="24"/>
        </w:rPr>
        <w:t xml:space="preserve"> more than 100 million </w:t>
      </w:r>
      <w:r w:rsidR="005E5B39" w:rsidRPr="0093413E">
        <w:rPr>
          <w:rFonts w:asciiTheme="majorBidi" w:hAnsiTheme="majorBidi" w:cstheme="majorBidi"/>
          <w:sz w:val="24"/>
          <w:szCs w:val="24"/>
        </w:rPr>
        <w:t xml:space="preserve">and </w:t>
      </w:r>
      <w:r w:rsidR="005B23EF" w:rsidRPr="0093413E">
        <w:rPr>
          <w:rFonts w:asciiTheme="majorBidi" w:hAnsiTheme="majorBidi" w:cstheme="majorBidi"/>
          <w:sz w:val="24"/>
          <w:szCs w:val="24"/>
        </w:rPr>
        <w:t>with</w:t>
      </w:r>
      <w:r w:rsidR="009865D1" w:rsidRPr="0093413E">
        <w:rPr>
          <w:rFonts w:asciiTheme="majorBidi" w:hAnsiTheme="majorBidi" w:cstheme="majorBidi"/>
          <w:sz w:val="24"/>
          <w:szCs w:val="24"/>
        </w:rPr>
        <w:t xml:space="preserve"> </w:t>
      </w:r>
      <w:r w:rsidR="00804F90" w:rsidRPr="0093413E">
        <w:rPr>
          <w:rFonts w:asciiTheme="majorBidi" w:hAnsiTheme="majorBidi" w:cstheme="majorBidi"/>
          <w:sz w:val="24"/>
          <w:szCs w:val="24"/>
        </w:rPr>
        <w:t xml:space="preserve">maturity of at least one year </w:t>
      </w:r>
      <w:r w:rsidR="009865D1" w:rsidRPr="0093413E">
        <w:rPr>
          <w:rFonts w:asciiTheme="majorBidi" w:hAnsiTheme="majorBidi" w:cstheme="majorBidi"/>
          <w:sz w:val="24"/>
          <w:szCs w:val="24"/>
        </w:rPr>
        <w:t>at the time of the issue.</w:t>
      </w:r>
      <w:r w:rsidR="00804F90" w:rsidRPr="0093413E">
        <w:rPr>
          <w:rFonts w:asciiTheme="majorBidi" w:hAnsiTheme="majorBidi" w:cstheme="majorBidi"/>
          <w:sz w:val="24"/>
          <w:szCs w:val="24"/>
        </w:rPr>
        <w:t xml:space="preserve"> </w:t>
      </w:r>
      <w:r w:rsidR="00C82F25" w:rsidRPr="0093413E">
        <w:rPr>
          <w:rFonts w:asciiTheme="majorBidi" w:hAnsiTheme="majorBidi" w:cstheme="majorBidi"/>
          <w:sz w:val="24"/>
          <w:szCs w:val="24"/>
        </w:rPr>
        <w:t>Finally</w:t>
      </w:r>
      <w:r w:rsidR="00B33B6D" w:rsidRPr="0093413E">
        <w:rPr>
          <w:rFonts w:asciiTheme="majorBidi" w:hAnsiTheme="majorBidi" w:cstheme="majorBidi"/>
          <w:sz w:val="24"/>
          <w:szCs w:val="24"/>
        </w:rPr>
        <w:t>,</w:t>
      </w:r>
      <w:r w:rsidR="00491C1C" w:rsidRPr="0093413E">
        <w:rPr>
          <w:rFonts w:asciiTheme="majorBidi" w:hAnsiTheme="majorBidi" w:cstheme="majorBidi"/>
          <w:sz w:val="24"/>
          <w:szCs w:val="24"/>
        </w:rPr>
        <w:t xml:space="preserve"> </w:t>
      </w:r>
      <w:r w:rsidR="00384A77" w:rsidRPr="0093413E">
        <w:rPr>
          <w:rFonts w:asciiTheme="majorBidi" w:hAnsiTheme="majorBidi" w:cstheme="majorBidi"/>
          <w:sz w:val="24"/>
          <w:szCs w:val="24"/>
        </w:rPr>
        <w:t>the sample</w:t>
      </w:r>
      <w:r w:rsidR="00491C1C" w:rsidRPr="0093413E">
        <w:rPr>
          <w:rFonts w:asciiTheme="majorBidi" w:hAnsiTheme="majorBidi" w:cstheme="majorBidi"/>
          <w:sz w:val="24"/>
          <w:szCs w:val="24"/>
        </w:rPr>
        <w:t xml:space="preserve"> exclude</w:t>
      </w:r>
      <w:r w:rsidR="00354877" w:rsidRPr="0093413E">
        <w:rPr>
          <w:rFonts w:asciiTheme="majorBidi" w:hAnsiTheme="majorBidi" w:cstheme="majorBidi"/>
          <w:sz w:val="24"/>
          <w:szCs w:val="24"/>
        </w:rPr>
        <w:t>d</w:t>
      </w:r>
      <w:r w:rsidR="00491C1C" w:rsidRPr="0093413E">
        <w:rPr>
          <w:rFonts w:asciiTheme="majorBidi" w:hAnsiTheme="majorBidi" w:cstheme="majorBidi"/>
          <w:sz w:val="24"/>
          <w:szCs w:val="24"/>
        </w:rPr>
        <w:t xml:space="preserve"> firms </w:t>
      </w:r>
      <w:r w:rsidR="00350D4B" w:rsidRPr="0093413E">
        <w:rPr>
          <w:rFonts w:asciiTheme="majorBidi" w:hAnsiTheme="majorBidi" w:cstheme="majorBidi"/>
          <w:sz w:val="24"/>
          <w:szCs w:val="24"/>
        </w:rPr>
        <w:t>with unavailable accounting data</w:t>
      </w:r>
      <w:r w:rsidR="00491C1C" w:rsidRPr="0093413E">
        <w:rPr>
          <w:rFonts w:asciiTheme="majorBidi" w:hAnsiTheme="majorBidi" w:cstheme="majorBidi"/>
          <w:sz w:val="24"/>
          <w:szCs w:val="24"/>
        </w:rPr>
        <w:t xml:space="preserve"> </w:t>
      </w:r>
      <w:r w:rsidR="00354877" w:rsidRPr="0093413E">
        <w:rPr>
          <w:rFonts w:asciiTheme="majorBidi" w:hAnsiTheme="majorBidi" w:cstheme="majorBidi"/>
          <w:sz w:val="24"/>
          <w:szCs w:val="24"/>
        </w:rPr>
        <w:t>in the</w:t>
      </w:r>
      <w:r w:rsidR="00491C1C" w:rsidRPr="0093413E">
        <w:rPr>
          <w:rFonts w:asciiTheme="majorBidi" w:hAnsiTheme="majorBidi" w:cstheme="majorBidi"/>
          <w:sz w:val="24"/>
          <w:szCs w:val="24"/>
        </w:rPr>
        <w:t xml:space="preserve"> </w:t>
      </w:r>
      <w:r w:rsidR="00242441" w:rsidRPr="0093413E">
        <w:rPr>
          <w:rFonts w:asciiTheme="majorBidi" w:hAnsiTheme="majorBidi" w:cstheme="majorBidi"/>
          <w:sz w:val="24"/>
          <w:szCs w:val="24"/>
        </w:rPr>
        <w:t>LSEG Worldscope</w:t>
      </w:r>
      <w:r w:rsidR="00F026BB" w:rsidRPr="0093413E">
        <w:rPr>
          <w:rFonts w:asciiTheme="majorBidi" w:hAnsiTheme="majorBidi" w:cstheme="majorBidi"/>
          <w:sz w:val="24"/>
          <w:szCs w:val="24"/>
        </w:rPr>
        <w:t xml:space="preserve">. </w:t>
      </w:r>
      <w:r w:rsidR="00F90699" w:rsidRPr="0093413E">
        <w:rPr>
          <w:rFonts w:asciiTheme="majorBidi" w:hAnsiTheme="majorBidi" w:cstheme="majorBidi"/>
          <w:sz w:val="24"/>
          <w:szCs w:val="24"/>
        </w:rPr>
        <w:t xml:space="preserve">After </w:t>
      </w:r>
      <w:r w:rsidR="00547A2D" w:rsidRPr="0093413E">
        <w:rPr>
          <w:rFonts w:asciiTheme="majorBidi" w:hAnsiTheme="majorBidi" w:cstheme="majorBidi"/>
          <w:sz w:val="24"/>
          <w:szCs w:val="24"/>
        </w:rPr>
        <w:t>applying the above</w:t>
      </w:r>
      <w:r w:rsidR="00F90699" w:rsidRPr="0093413E">
        <w:rPr>
          <w:rFonts w:asciiTheme="majorBidi" w:hAnsiTheme="majorBidi" w:cstheme="majorBidi"/>
          <w:sz w:val="24"/>
          <w:szCs w:val="24"/>
        </w:rPr>
        <w:t xml:space="preserve"> criteria, </w:t>
      </w:r>
      <w:r w:rsidR="00547A2D" w:rsidRPr="0093413E">
        <w:rPr>
          <w:rFonts w:asciiTheme="majorBidi" w:hAnsiTheme="majorBidi" w:cstheme="majorBidi"/>
          <w:sz w:val="24"/>
          <w:szCs w:val="24"/>
        </w:rPr>
        <w:t xml:space="preserve">the final sample </w:t>
      </w:r>
      <w:r w:rsidR="00354877" w:rsidRPr="0093413E">
        <w:rPr>
          <w:rFonts w:asciiTheme="majorBidi" w:hAnsiTheme="majorBidi" w:cstheme="majorBidi"/>
          <w:sz w:val="24"/>
          <w:szCs w:val="24"/>
        </w:rPr>
        <w:t xml:space="preserve">consists of </w:t>
      </w:r>
      <w:r w:rsidR="00924A9C" w:rsidRPr="0093413E">
        <w:rPr>
          <w:rFonts w:asciiTheme="majorBidi" w:hAnsiTheme="majorBidi" w:cstheme="majorBidi"/>
          <w:sz w:val="24"/>
          <w:szCs w:val="24"/>
        </w:rPr>
        <w:t>8,453</w:t>
      </w:r>
      <w:r w:rsidR="00B33B6D" w:rsidRPr="0093413E">
        <w:rPr>
          <w:rFonts w:asciiTheme="majorBidi" w:hAnsiTheme="majorBidi" w:cstheme="majorBidi"/>
          <w:sz w:val="24"/>
          <w:szCs w:val="24"/>
        </w:rPr>
        <w:t xml:space="preserve"> </w:t>
      </w:r>
      <w:r w:rsidR="00924A9C" w:rsidRPr="0093413E">
        <w:rPr>
          <w:rFonts w:asciiTheme="majorBidi" w:hAnsiTheme="majorBidi" w:cstheme="majorBidi"/>
          <w:sz w:val="24"/>
          <w:szCs w:val="24"/>
        </w:rPr>
        <w:t>bond issues</w:t>
      </w:r>
      <w:r w:rsidR="00547A2D" w:rsidRPr="0093413E">
        <w:rPr>
          <w:rFonts w:asciiTheme="majorBidi" w:hAnsiTheme="majorBidi" w:cstheme="majorBidi"/>
          <w:sz w:val="24"/>
          <w:szCs w:val="24"/>
        </w:rPr>
        <w:t xml:space="preserve"> by </w:t>
      </w:r>
      <w:r w:rsidR="00BE3290" w:rsidRPr="0093413E">
        <w:rPr>
          <w:rFonts w:asciiTheme="majorBidi" w:hAnsiTheme="majorBidi" w:cstheme="majorBidi"/>
          <w:sz w:val="24"/>
          <w:szCs w:val="24"/>
        </w:rPr>
        <w:t>1121</w:t>
      </w:r>
      <w:r w:rsidR="00547A2D" w:rsidRPr="0093413E">
        <w:rPr>
          <w:rFonts w:asciiTheme="majorBidi" w:hAnsiTheme="majorBidi" w:cstheme="majorBidi"/>
          <w:sz w:val="24"/>
          <w:szCs w:val="24"/>
        </w:rPr>
        <w:t xml:space="preserve"> </w:t>
      </w:r>
      <w:r w:rsidR="00172A0B" w:rsidRPr="0093413E">
        <w:rPr>
          <w:rFonts w:asciiTheme="majorBidi" w:hAnsiTheme="majorBidi" w:cstheme="majorBidi"/>
          <w:sz w:val="24"/>
          <w:szCs w:val="24"/>
        </w:rPr>
        <w:t xml:space="preserve">unique </w:t>
      </w:r>
      <w:r w:rsidR="00547A2D" w:rsidRPr="0093413E">
        <w:rPr>
          <w:rFonts w:asciiTheme="majorBidi" w:hAnsiTheme="majorBidi" w:cstheme="majorBidi"/>
          <w:sz w:val="24"/>
          <w:szCs w:val="24"/>
        </w:rPr>
        <w:t>firms</w:t>
      </w:r>
      <w:r w:rsidR="00F90699" w:rsidRPr="0093413E">
        <w:rPr>
          <w:rFonts w:asciiTheme="majorBidi" w:hAnsiTheme="majorBidi" w:cstheme="majorBidi"/>
          <w:sz w:val="24"/>
          <w:szCs w:val="24"/>
        </w:rPr>
        <w:t>.</w:t>
      </w:r>
      <w:r w:rsidR="00F026BB" w:rsidRPr="0093413E">
        <w:rPr>
          <w:rFonts w:asciiTheme="majorBidi" w:hAnsiTheme="majorBidi" w:cstheme="majorBidi"/>
          <w:sz w:val="24"/>
          <w:szCs w:val="24"/>
        </w:rPr>
        <w:t xml:space="preserve"> </w:t>
      </w:r>
      <w:r w:rsidR="006F7E6E" w:rsidRPr="0093413E">
        <w:rPr>
          <w:rFonts w:asciiTheme="majorBidi" w:hAnsiTheme="majorBidi" w:cstheme="majorBidi"/>
          <w:sz w:val="24"/>
          <w:szCs w:val="24"/>
        </w:rPr>
        <w:t xml:space="preserve">Table 1 presents the sample characteristics. </w:t>
      </w:r>
      <w:r w:rsidR="00596332" w:rsidRPr="0093413E">
        <w:rPr>
          <w:rFonts w:asciiTheme="majorBidi" w:hAnsiTheme="majorBidi" w:cstheme="majorBidi"/>
          <w:sz w:val="24"/>
          <w:szCs w:val="24"/>
        </w:rPr>
        <w:t xml:space="preserve">Among </w:t>
      </w:r>
      <w:r w:rsidR="00354877" w:rsidRPr="0093413E">
        <w:rPr>
          <w:rFonts w:asciiTheme="majorBidi" w:hAnsiTheme="majorBidi" w:cstheme="majorBidi"/>
          <w:sz w:val="24"/>
          <w:szCs w:val="24"/>
        </w:rPr>
        <w:t xml:space="preserve">the </w:t>
      </w:r>
      <w:r w:rsidR="003F32AD" w:rsidRPr="0093413E">
        <w:rPr>
          <w:rFonts w:asciiTheme="majorBidi" w:hAnsiTheme="majorBidi" w:cstheme="majorBidi"/>
          <w:sz w:val="24"/>
          <w:szCs w:val="24"/>
        </w:rPr>
        <w:t>8,453</w:t>
      </w:r>
      <w:r w:rsidR="00596332" w:rsidRPr="0093413E">
        <w:rPr>
          <w:rFonts w:asciiTheme="majorBidi" w:hAnsiTheme="majorBidi" w:cstheme="majorBidi"/>
          <w:sz w:val="24"/>
          <w:szCs w:val="24"/>
        </w:rPr>
        <w:t xml:space="preserve"> </w:t>
      </w:r>
      <w:r w:rsidR="00F038B3" w:rsidRPr="0093413E">
        <w:rPr>
          <w:rFonts w:asciiTheme="majorBidi" w:hAnsiTheme="majorBidi" w:cstheme="majorBidi"/>
          <w:sz w:val="24"/>
          <w:szCs w:val="24"/>
        </w:rPr>
        <w:t>Bonds offerings</w:t>
      </w:r>
      <w:r w:rsidR="00596332" w:rsidRPr="0093413E">
        <w:rPr>
          <w:rFonts w:asciiTheme="majorBidi" w:hAnsiTheme="majorBidi" w:cstheme="majorBidi"/>
          <w:sz w:val="24"/>
          <w:szCs w:val="24"/>
        </w:rPr>
        <w:t xml:space="preserve">, </w:t>
      </w:r>
      <w:r w:rsidR="001E2D2E" w:rsidRPr="0093413E">
        <w:rPr>
          <w:rFonts w:asciiTheme="majorBidi" w:hAnsiTheme="majorBidi" w:cstheme="majorBidi"/>
          <w:sz w:val="24"/>
          <w:szCs w:val="24"/>
        </w:rPr>
        <w:t>81</w:t>
      </w:r>
      <w:r w:rsidR="00354877" w:rsidRPr="0093413E">
        <w:rPr>
          <w:rFonts w:asciiTheme="majorBidi" w:hAnsiTheme="majorBidi" w:cstheme="majorBidi"/>
          <w:sz w:val="24"/>
          <w:szCs w:val="24"/>
        </w:rPr>
        <w:t xml:space="preserve"> percent</w:t>
      </w:r>
      <w:r w:rsidR="00C70EB4" w:rsidRPr="0093413E">
        <w:rPr>
          <w:rFonts w:asciiTheme="majorBidi" w:hAnsiTheme="majorBidi" w:cstheme="majorBidi"/>
          <w:sz w:val="24"/>
          <w:szCs w:val="24"/>
        </w:rPr>
        <w:t xml:space="preserve"> </w:t>
      </w:r>
      <w:r w:rsidR="00E04F56" w:rsidRPr="0093413E">
        <w:rPr>
          <w:rFonts w:asciiTheme="majorBidi" w:hAnsiTheme="majorBidi" w:cstheme="majorBidi"/>
          <w:sz w:val="24"/>
          <w:szCs w:val="24"/>
        </w:rPr>
        <w:t xml:space="preserve">were </w:t>
      </w:r>
      <w:r w:rsidR="00466DE3" w:rsidRPr="0093413E">
        <w:rPr>
          <w:rFonts w:asciiTheme="majorBidi" w:hAnsiTheme="majorBidi" w:cstheme="majorBidi"/>
          <w:sz w:val="24"/>
          <w:szCs w:val="24"/>
        </w:rPr>
        <w:t>Bonds offerings</w:t>
      </w:r>
      <w:r w:rsidR="00354877" w:rsidRPr="0093413E">
        <w:rPr>
          <w:rFonts w:asciiTheme="majorBidi" w:hAnsiTheme="majorBidi" w:cstheme="majorBidi"/>
          <w:sz w:val="24"/>
          <w:szCs w:val="24"/>
        </w:rPr>
        <w:t xml:space="preserve"> </w:t>
      </w:r>
      <w:r w:rsidR="00E04F56" w:rsidRPr="0093413E">
        <w:rPr>
          <w:rFonts w:asciiTheme="majorBidi" w:hAnsiTheme="majorBidi" w:cstheme="majorBidi"/>
          <w:sz w:val="24"/>
          <w:szCs w:val="24"/>
        </w:rPr>
        <w:t xml:space="preserve">by </w:t>
      </w:r>
      <w:r w:rsidR="005B77C7" w:rsidRPr="0093413E">
        <w:rPr>
          <w:rFonts w:asciiTheme="majorBidi" w:hAnsiTheme="majorBidi" w:cstheme="majorBidi"/>
          <w:sz w:val="24"/>
          <w:szCs w:val="24"/>
        </w:rPr>
        <w:t>firms</w:t>
      </w:r>
      <w:r w:rsidR="00596332" w:rsidRPr="0093413E">
        <w:rPr>
          <w:rFonts w:asciiTheme="majorBidi" w:hAnsiTheme="majorBidi" w:cstheme="majorBidi"/>
          <w:sz w:val="24"/>
          <w:szCs w:val="24"/>
        </w:rPr>
        <w:t xml:space="preserve"> </w:t>
      </w:r>
      <w:r w:rsidR="005B77C7" w:rsidRPr="0093413E">
        <w:rPr>
          <w:rFonts w:asciiTheme="majorBidi" w:hAnsiTheme="majorBidi" w:cstheme="majorBidi"/>
          <w:sz w:val="24"/>
          <w:szCs w:val="24"/>
        </w:rPr>
        <w:t>reporting</w:t>
      </w:r>
      <w:r w:rsidR="00596332" w:rsidRPr="0093413E">
        <w:rPr>
          <w:rFonts w:asciiTheme="majorBidi" w:hAnsiTheme="majorBidi" w:cstheme="majorBidi"/>
          <w:sz w:val="24"/>
          <w:szCs w:val="24"/>
        </w:rPr>
        <w:t xml:space="preserve"> ESG scores. The number of </w:t>
      </w:r>
      <w:r w:rsidR="00801F6E" w:rsidRPr="0093413E">
        <w:rPr>
          <w:rFonts w:asciiTheme="majorBidi" w:hAnsiTheme="majorBidi" w:cstheme="majorBidi"/>
          <w:sz w:val="24"/>
          <w:szCs w:val="24"/>
        </w:rPr>
        <w:t>bonds</w:t>
      </w:r>
      <w:r w:rsidR="00E04F56" w:rsidRPr="0093413E">
        <w:rPr>
          <w:rFonts w:asciiTheme="majorBidi" w:hAnsiTheme="majorBidi" w:cstheme="majorBidi"/>
          <w:sz w:val="24"/>
          <w:szCs w:val="24"/>
        </w:rPr>
        <w:t xml:space="preserve"> </w:t>
      </w:r>
      <w:r w:rsidR="001568F1" w:rsidRPr="0093413E">
        <w:rPr>
          <w:rFonts w:asciiTheme="majorBidi" w:hAnsiTheme="majorBidi" w:cstheme="majorBidi"/>
          <w:sz w:val="24"/>
          <w:szCs w:val="24"/>
        </w:rPr>
        <w:t xml:space="preserve">issuers reporting ESG scores varies across the sample period, from a low </w:t>
      </w:r>
      <w:r w:rsidR="00354877" w:rsidRPr="0093413E">
        <w:rPr>
          <w:rFonts w:asciiTheme="majorBidi" w:hAnsiTheme="majorBidi" w:cstheme="majorBidi"/>
          <w:sz w:val="24"/>
          <w:szCs w:val="24"/>
        </w:rPr>
        <w:t xml:space="preserve">rate </w:t>
      </w:r>
      <w:r w:rsidR="001568F1" w:rsidRPr="0093413E">
        <w:rPr>
          <w:rFonts w:asciiTheme="majorBidi" w:hAnsiTheme="majorBidi" w:cstheme="majorBidi"/>
          <w:sz w:val="24"/>
          <w:szCs w:val="24"/>
        </w:rPr>
        <w:t xml:space="preserve">of </w:t>
      </w:r>
      <w:r w:rsidR="00646AC7" w:rsidRPr="0093413E">
        <w:rPr>
          <w:rFonts w:asciiTheme="majorBidi" w:hAnsiTheme="majorBidi" w:cstheme="majorBidi"/>
          <w:sz w:val="24"/>
          <w:szCs w:val="24"/>
        </w:rPr>
        <w:t>4</w:t>
      </w:r>
      <w:r w:rsidR="0017280E" w:rsidRPr="0093413E">
        <w:rPr>
          <w:rFonts w:asciiTheme="majorBidi" w:hAnsiTheme="majorBidi" w:cstheme="majorBidi"/>
          <w:sz w:val="24"/>
          <w:szCs w:val="24"/>
        </w:rPr>
        <w:t>2</w:t>
      </w:r>
      <w:r w:rsidR="00354877" w:rsidRPr="0093413E">
        <w:rPr>
          <w:rFonts w:asciiTheme="majorBidi" w:hAnsiTheme="majorBidi" w:cstheme="majorBidi"/>
          <w:sz w:val="24"/>
          <w:szCs w:val="24"/>
        </w:rPr>
        <w:t xml:space="preserve"> percent</w:t>
      </w:r>
      <w:r w:rsidR="001568F1" w:rsidRPr="0093413E">
        <w:rPr>
          <w:rFonts w:asciiTheme="majorBidi" w:hAnsiTheme="majorBidi" w:cstheme="majorBidi"/>
          <w:sz w:val="24"/>
          <w:szCs w:val="24"/>
        </w:rPr>
        <w:t xml:space="preserve"> in 200</w:t>
      </w:r>
      <w:r w:rsidR="00646AC7" w:rsidRPr="0093413E">
        <w:rPr>
          <w:rFonts w:asciiTheme="majorBidi" w:hAnsiTheme="majorBidi" w:cstheme="majorBidi"/>
          <w:sz w:val="24"/>
          <w:szCs w:val="24"/>
        </w:rPr>
        <w:t>4</w:t>
      </w:r>
      <w:r w:rsidR="001568F1" w:rsidRPr="0093413E">
        <w:rPr>
          <w:rFonts w:asciiTheme="majorBidi" w:hAnsiTheme="majorBidi" w:cstheme="majorBidi"/>
          <w:sz w:val="24"/>
          <w:szCs w:val="24"/>
        </w:rPr>
        <w:t xml:space="preserve"> to a high </w:t>
      </w:r>
      <w:r w:rsidR="007A592B" w:rsidRPr="0093413E">
        <w:rPr>
          <w:rFonts w:asciiTheme="majorBidi" w:hAnsiTheme="majorBidi" w:cstheme="majorBidi"/>
          <w:sz w:val="24"/>
          <w:szCs w:val="24"/>
        </w:rPr>
        <w:t>rate</w:t>
      </w:r>
      <w:r w:rsidR="001568F1" w:rsidRPr="0093413E">
        <w:rPr>
          <w:rFonts w:asciiTheme="majorBidi" w:hAnsiTheme="majorBidi" w:cstheme="majorBidi"/>
          <w:sz w:val="24"/>
          <w:szCs w:val="24"/>
        </w:rPr>
        <w:t xml:space="preserve"> of </w:t>
      </w:r>
      <w:r w:rsidR="0060001C" w:rsidRPr="0093413E">
        <w:rPr>
          <w:rFonts w:asciiTheme="majorBidi" w:hAnsiTheme="majorBidi" w:cstheme="majorBidi"/>
          <w:sz w:val="24"/>
          <w:szCs w:val="24"/>
        </w:rPr>
        <w:t>97</w:t>
      </w:r>
      <w:r w:rsidR="00354877" w:rsidRPr="0093413E">
        <w:rPr>
          <w:rFonts w:asciiTheme="majorBidi" w:hAnsiTheme="majorBidi" w:cstheme="majorBidi"/>
          <w:sz w:val="24"/>
          <w:szCs w:val="24"/>
        </w:rPr>
        <w:t xml:space="preserve"> percent</w:t>
      </w:r>
      <w:r w:rsidR="001568F1" w:rsidRPr="0093413E">
        <w:rPr>
          <w:rFonts w:asciiTheme="majorBidi" w:hAnsiTheme="majorBidi" w:cstheme="majorBidi"/>
          <w:sz w:val="24"/>
          <w:szCs w:val="24"/>
        </w:rPr>
        <w:t xml:space="preserve"> in 20</w:t>
      </w:r>
      <w:r w:rsidR="0017280E" w:rsidRPr="0093413E">
        <w:rPr>
          <w:rFonts w:asciiTheme="majorBidi" w:hAnsiTheme="majorBidi" w:cstheme="majorBidi"/>
          <w:sz w:val="24"/>
          <w:szCs w:val="24"/>
        </w:rPr>
        <w:t>20</w:t>
      </w:r>
      <w:r w:rsidR="001568F1" w:rsidRPr="0093413E">
        <w:rPr>
          <w:rFonts w:asciiTheme="majorBidi" w:hAnsiTheme="majorBidi" w:cstheme="majorBidi"/>
          <w:sz w:val="24"/>
          <w:szCs w:val="24"/>
        </w:rPr>
        <w:t xml:space="preserve">. </w:t>
      </w:r>
      <w:r w:rsidR="00350D4B" w:rsidRPr="0093413E">
        <w:rPr>
          <w:rFonts w:asciiTheme="majorBidi" w:hAnsiTheme="majorBidi" w:cstheme="majorBidi"/>
          <w:sz w:val="24"/>
          <w:szCs w:val="24"/>
        </w:rPr>
        <w:t xml:space="preserve">Table 1 Panel A 3 </w:t>
      </w:r>
      <w:r w:rsidR="00394AB2" w:rsidRPr="0093413E">
        <w:rPr>
          <w:rFonts w:asciiTheme="majorBidi" w:hAnsiTheme="majorBidi" w:cstheme="majorBidi"/>
          <w:sz w:val="24"/>
          <w:szCs w:val="24"/>
        </w:rPr>
        <w:t>shows</w:t>
      </w:r>
      <w:r w:rsidR="00350D4B" w:rsidRPr="0093413E">
        <w:rPr>
          <w:rFonts w:asciiTheme="majorBidi" w:hAnsiTheme="majorBidi" w:cstheme="majorBidi"/>
          <w:sz w:val="24"/>
          <w:szCs w:val="24"/>
        </w:rPr>
        <w:t xml:space="preserve"> that the number of companies reporting ESG scores has increased significantly since</w:t>
      </w:r>
      <w:r w:rsidR="007A592B" w:rsidRPr="0093413E">
        <w:rPr>
          <w:rFonts w:asciiTheme="majorBidi" w:hAnsiTheme="majorBidi" w:cstheme="majorBidi"/>
          <w:sz w:val="24"/>
          <w:szCs w:val="24"/>
        </w:rPr>
        <w:t xml:space="preserve"> </w:t>
      </w:r>
      <w:r w:rsidR="001942CE" w:rsidRPr="0093413E">
        <w:rPr>
          <w:rFonts w:asciiTheme="majorBidi" w:hAnsiTheme="majorBidi" w:cstheme="majorBidi"/>
          <w:sz w:val="24"/>
          <w:szCs w:val="24"/>
        </w:rPr>
        <w:t>20</w:t>
      </w:r>
      <w:r w:rsidR="0060001C" w:rsidRPr="0093413E">
        <w:rPr>
          <w:rFonts w:asciiTheme="majorBidi" w:hAnsiTheme="majorBidi" w:cstheme="majorBidi"/>
          <w:sz w:val="24"/>
          <w:szCs w:val="24"/>
        </w:rPr>
        <w:t>04</w:t>
      </w:r>
      <w:r w:rsidR="00596332" w:rsidRPr="0093413E">
        <w:rPr>
          <w:rFonts w:asciiTheme="majorBidi" w:hAnsiTheme="majorBidi" w:cstheme="majorBidi"/>
          <w:sz w:val="24"/>
          <w:szCs w:val="24"/>
        </w:rPr>
        <w:t>.</w:t>
      </w:r>
      <w:r w:rsidR="007A592B" w:rsidRPr="0093413E">
        <w:rPr>
          <w:rFonts w:asciiTheme="majorBidi" w:hAnsiTheme="majorBidi" w:cstheme="majorBidi"/>
          <w:sz w:val="24"/>
          <w:szCs w:val="24"/>
        </w:rPr>
        <w:t xml:space="preserve"> </w:t>
      </w:r>
      <w:r w:rsidR="00350D4B" w:rsidRPr="0093413E">
        <w:rPr>
          <w:rFonts w:asciiTheme="majorBidi" w:hAnsiTheme="majorBidi" w:cstheme="majorBidi"/>
          <w:sz w:val="24"/>
          <w:szCs w:val="24"/>
        </w:rPr>
        <w:t>This increase can be attributed to several factors, such as regulatory changes, establishing global standards and frameworks that give companies clear guidelines for ESG reporting, and stakeholder pressure that encourages companies to adopt and report on ESG activities</w:t>
      </w:r>
      <w:r w:rsidR="00C91A23" w:rsidRPr="0093413E">
        <w:rPr>
          <w:rFonts w:asciiTheme="majorBidi" w:hAnsiTheme="majorBidi" w:cstheme="majorBidi"/>
          <w:sz w:val="24"/>
          <w:szCs w:val="24"/>
        </w:rPr>
        <w:t xml:space="preserve">. </w:t>
      </w:r>
      <w:r w:rsidR="00722F18" w:rsidRPr="0093413E">
        <w:rPr>
          <w:rFonts w:asciiTheme="majorBidi" w:hAnsiTheme="majorBidi" w:cstheme="majorBidi"/>
          <w:sz w:val="24"/>
          <w:szCs w:val="24"/>
        </w:rPr>
        <w:t>Table 1 panel B sho</w:t>
      </w:r>
      <w:r w:rsidR="00E747E2" w:rsidRPr="0093413E">
        <w:rPr>
          <w:rFonts w:asciiTheme="majorBidi" w:hAnsiTheme="majorBidi" w:cstheme="majorBidi"/>
          <w:sz w:val="24"/>
          <w:szCs w:val="24"/>
        </w:rPr>
        <w:t>w</w:t>
      </w:r>
      <w:r w:rsidR="00722F18" w:rsidRPr="0093413E">
        <w:rPr>
          <w:rFonts w:asciiTheme="majorBidi" w:hAnsiTheme="majorBidi" w:cstheme="majorBidi"/>
          <w:sz w:val="24"/>
          <w:szCs w:val="24"/>
        </w:rPr>
        <w:t xml:space="preserve">s the distribution of </w:t>
      </w:r>
      <w:r w:rsidR="007626AE" w:rsidRPr="0093413E">
        <w:rPr>
          <w:rFonts w:asciiTheme="majorBidi" w:hAnsiTheme="majorBidi" w:cstheme="majorBidi"/>
          <w:sz w:val="24"/>
          <w:szCs w:val="24"/>
        </w:rPr>
        <w:t>bonds issue</w:t>
      </w:r>
      <w:r w:rsidR="00722F18" w:rsidRPr="0093413E">
        <w:rPr>
          <w:rFonts w:asciiTheme="majorBidi" w:hAnsiTheme="majorBidi" w:cstheme="majorBidi"/>
          <w:sz w:val="24"/>
          <w:szCs w:val="24"/>
        </w:rPr>
        <w:t xml:space="preserve"> by</w:t>
      </w:r>
      <w:r w:rsidR="00E747E2" w:rsidRPr="0093413E">
        <w:rPr>
          <w:rFonts w:asciiTheme="majorBidi" w:hAnsiTheme="majorBidi" w:cstheme="majorBidi"/>
          <w:sz w:val="24"/>
          <w:szCs w:val="24"/>
        </w:rPr>
        <w:t xml:space="preserve"> </w:t>
      </w:r>
      <w:r w:rsidR="00722F18" w:rsidRPr="0093413E">
        <w:rPr>
          <w:rFonts w:asciiTheme="majorBidi" w:hAnsiTheme="majorBidi" w:cstheme="majorBidi"/>
          <w:sz w:val="24"/>
          <w:szCs w:val="24"/>
        </w:rPr>
        <w:t>issuer</w:t>
      </w:r>
      <w:r w:rsidR="00350D4B" w:rsidRPr="0093413E">
        <w:rPr>
          <w:rFonts w:asciiTheme="majorBidi" w:hAnsiTheme="majorBidi" w:cstheme="majorBidi"/>
          <w:sz w:val="24"/>
          <w:szCs w:val="24"/>
        </w:rPr>
        <w:t>’s</w:t>
      </w:r>
      <w:r w:rsidR="00722F18" w:rsidRPr="0093413E">
        <w:rPr>
          <w:rFonts w:asciiTheme="majorBidi" w:hAnsiTheme="majorBidi" w:cstheme="majorBidi"/>
          <w:sz w:val="24"/>
          <w:szCs w:val="24"/>
        </w:rPr>
        <w:t xml:space="preserve"> industry</w:t>
      </w:r>
      <w:r w:rsidR="00E747E2" w:rsidRPr="0093413E">
        <w:rPr>
          <w:rFonts w:asciiTheme="majorBidi" w:hAnsiTheme="majorBidi" w:cstheme="majorBidi"/>
          <w:sz w:val="24"/>
          <w:szCs w:val="24"/>
        </w:rPr>
        <w:t>.</w:t>
      </w:r>
      <w:r w:rsidR="002E76A0" w:rsidRPr="0093413E">
        <w:rPr>
          <w:rFonts w:asciiTheme="majorBidi" w:hAnsiTheme="majorBidi" w:cstheme="majorBidi"/>
          <w:sz w:val="24"/>
          <w:szCs w:val="24"/>
        </w:rPr>
        <w:t xml:space="preserve"> Most </w:t>
      </w:r>
      <w:r w:rsidR="00801F6E" w:rsidRPr="0093413E">
        <w:rPr>
          <w:rFonts w:asciiTheme="majorBidi" w:hAnsiTheme="majorBidi" w:cstheme="majorBidi"/>
          <w:sz w:val="24"/>
          <w:szCs w:val="24"/>
        </w:rPr>
        <w:t>bonds</w:t>
      </w:r>
      <w:r w:rsidR="00354877" w:rsidRPr="0093413E">
        <w:rPr>
          <w:rFonts w:asciiTheme="majorBidi" w:hAnsiTheme="majorBidi" w:cstheme="majorBidi"/>
          <w:sz w:val="24"/>
          <w:szCs w:val="24"/>
        </w:rPr>
        <w:t xml:space="preserve"> </w:t>
      </w:r>
      <w:r w:rsidR="004857E8" w:rsidRPr="0093413E">
        <w:rPr>
          <w:rFonts w:asciiTheme="majorBidi" w:hAnsiTheme="majorBidi" w:cstheme="majorBidi"/>
          <w:sz w:val="24"/>
          <w:szCs w:val="24"/>
        </w:rPr>
        <w:t>issues</w:t>
      </w:r>
      <w:r w:rsidR="002E76A0" w:rsidRPr="0093413E">
        <w:rPr>
          <w:rFonts w:asciiTheme="majorBidi" w:hAnsiTheme="majorBidi" w:cstheme="majorBidi"/>
          <w:sz w:val="24"/>
          <w:szCs w:val="24"/>
        </w:rPr>
        <w:t xml:space="preserve"> are in manufacturing (4</w:t>
      </w:r>
      <w:r w:rsidR="00C45A31" w:rsidRPr="0093413E">
        <w:rPr>
          <w:rFonts w:asciiTheme="majorBidi" w:hAnsiTheme="majorBidi" w:cstheme="majorBidi"/>
          <w:sz w:val="24"/>
          <w:szCs w:val="24"/>
        </w:rPr>
        <w:t>8</w:t>
      </w:r>
      <w:r w:rsidR="00B149DC" w:rsidRPr="0093413E">
        <w:rPr>
          <w:rFonts w:asciiTheme="majorBidi" w:hAnsiTheme="majorBidi" w:cstheme="majorBidi"/>
          <w:sz w:val="24"/>
          <w:szCs w:val="24"/>
        </w:rPr>
        <w:t xml:space="preserve"> </w:t>
      </w:r>
      <w:r w:rsidR="00354877" w:rsidRPr="0093413E">
        <w:rPr>
          <w:rFonts w:asciiTheme="majorBidi" w:hAnsiTheme="majorBidi" w:cstheme="majorBidi"/>
          <w:sz w:val="24"/>
          <w:szCs w:val="24"/>
        </w:rPr>
        <w:t>percent</w:t>
      </w:r>
      <w:r w:rsidR="002E76A0" w:rsidRPr="0093413E">
        <w:rPr>
          <w:rFonts w:asciiTheme="majorBidi" w:hAnsiTheme="majorBidi" w:cstheme="majorBidi"/>
          <w:sz w:val="24"/>
          <w:szCs w:val="24"/>
        </w:rPr>
        <w:t xml:space="preserve">), </w:t>
      </w:r>
      <w:r w:rsidR="00FA530C" w:rsidRPr="0093413E">
        <w:rPr>
          <w:rFonts w:asciiTheme="majorBidi" w:hAnsiTheme="majorBidi" w:cstheme="majorBidi"/>
          <w:sz w:val="24"/>
          <w:szCs w:val="24"/>
        </w:rPr>
        <w:t xml:space="preserve">next is </w:t>
      </w:r>
      <w:r w:rsidR="004114B3" w:rsidRPr="0093413E">
        <w:rPr>
          <w:rFonts w:asciiTheme="majorBidi" w:hAnsiTheme="majorBidi" w:cstheme="majorBidi"/>
          <w:sz w:val="24"/>
          <w:szCs w:val="24"/>
        </w:rPr>
        <w:t>service industries</w:t>
      </w:r>
      <w:r w:rsidR="00354877" w:rsidRPr="0093413E">
        <w:rPr>
          <w:rFonts w:asciiTheme="majorBidi" w:hAnsiTheme="majorBidi" w:cstheme="majorBidi"/>
          <w:sz w:val="24"/>
          <w:szCs w:val="24"/>
        </w:rPr>
        <w:t xml:space="preserve"> </w:t>
      </w:r>
      <w:r w:rsidR="004114B3" w:rsidRPr="0093413E">
        <w:rPr>
          <w:rFonts w:asciiTheme="majorBidi" w:hAnsiTheme="majorBidi" w:cstheme="majorBidi"/>
          <w:sz w:val="24"/>
          <w:szCs w:val="24"/>
        </w:rPr>
        <w:t>(</w:t>
      </w:r>
      <w:r w:rsidR="00C45A31" w:rsidRPr="0093413E">
        <w:rPr>
          <w:rFonts w:asciiTheme="majorBidi" w:hAnsiTheme="majorBidi" w:cstheme="majorBidi"/>
          <w:sz w:val="24"/>
          <w:szCs w:val="24"/>
        </w:rPr>
        <w:t>1</w:t>
      </w:r>
      <w:r w:rsidR="004B206C" w:rsidRPr="0093413E">
        <w:rPr>
          <w:rFonts w:asciiTheme="majorBidi" w:hAnsiTheme="majorBidi" w:cstheme="majorBidi"/>
          <w:sz w:val="24"/>
          <w:szCs w:val="24"/>
        </w:rPr>
        <w:t>6</w:t>
      </w:r>
      <w:r w:rsidR="00354877" w:rsidRPr="0093413E">
        <w:rPr>
          <w:rFonts w:asciiTheme="majorBidi" w:hAnsiTheme="majorBidi" w:cstheme="majorBidi"/>
          <w:sz w:val="24"/>
          <w:szCs w:val="24"/>
        </w:rPr>
        <w:t xml:space="preserve"> percent</w:t>
      </w:r>
      <w:r w:rsidR="004114B3" w:rsidRPr="0093413E">
        <w:rPr>
          <w:rFonts w:asciiTheme="majorBidi" w:hAnsiTheme="majorBidi" w:cstheme="majorBidi"/>
          <w:sz w:val="24"/>
          <w:szCs w:val="24"/>
        </w:rPr>
        <w:t>)</w:t>
      </w:r>
      <w:r w:rsidR="00A24D88" w:rsidRPr="0093413E">
        <w:rPr>
          <w:rFonts w:asciiTheme="majorBidi" w:hAnsiTheme="majorBidi" w:cstheme="majorBidi"/>
          <w:sz w:val="24"/>
          <w:szCs w:val="24"/>
        </w:rPr>
        <w:t xml:space="preserve">, </w:t>
      </w:r>
      <w:r w:rsidR="00FB027A" w:rsidRPr="0093413E">
        <w:rPr>
          <w:rFonts w:asciiTheme="majorBidi" w:hAnsiTheme="majorBidi" w:cstheme="majorBidi"/>
          <w:sz w:val="24"/>
          <w:szCs w:val="24"/>
        </w:rPr>
        <w:t>transportation (15 percent)</w:t>
      </w:r>
      <w:r w:rsidR="006855EE" w:rsidRPr="0093413E">
        <w:rPr>
          <w:rFonts w:asciiTheme="majorBidi" w:hAnsiTheme="majorBidi" w:cstheme="majorBidi"/>
          <w:sz w:val="24"/>
          <w:szCs w:val="24"/>
        </w:rPr>
        <w:t xml:space="preserve">, wholesale /retail trade (12 percent)and </w:t>
      </w:r>
      <w:r w:rsidR="00354877" w:rsidRPr="0093413E">
        <w:rPr>
          <w:rFonts w:asciiTheme="majorBidi" w:hAnsiTheme="majorBidi" w:cstheme="majorBidi"/>
          <w:sz w:val="24"/>
          <w:szCs w:val="24"/>
        </w:rPr>
        <w:t>c</w:t>
      </w:r>
      <w:r w:rsidR="00A24D88" w:rsidRPr="0093413E">
        <w:rPr>
          <w:rFonts w:asciiTheme="majorBidi" w:hAnsiTheme="majorBidi" w:cstheme="majorBidi"/>
          <w:sz w:val="24"/>
          <w:szCs w:val="24"/>
        </w:rPr>
        <w:t>onstruction/</w:t>
      </w:r>
      <w:r w:rsidR="00354877" w:rsidRPr="0093413E">
        <w:rPr>
          <w:rFonts w:asciiTheme="majorBidi" w:hAnsiTheme="majorBidi" w:cstheme="majorBidi"/>
          <w:sz w:val="24"/>
          <w:szCs w:val="24"/>
        </w:rPr>
        <w:t>m</w:t>
      </w:r>
      <w:r w:rsidR="00A24D88" w:rsidRPr="0093413E">
        <w:rPr>
          <w:rFonts w:asciiTheme="majorBidi" w:hAnsiTheme="majorBidi" w:cstheme="majorBidi"/>
          <w:sz w:val="24"/>
          <w:szCs w:val="24"/>
        </w:rPr>
        <w:t>ining (</w:t>
      </w:r>
      <w:r w:rsidR="00441647" w:rsidRPr="0093413E">
        <w:rPr>
          <w:rFonts w:asciiTheme="majorBidi" w:hAnsiTheme="majorBidi" w:cstheme="majorBidi"/>
          <w:sz w:val="24"/>
          <w:szCs w:val="24"/>
        </w:rPr>
        <w:t>10</w:t>
      </w:r>
      <w:r w:rsidR="00354877" w:rsidRPr="0093413E">
        <w:rPr>
          <w:rFonts w:asciiTheme="majorBidi" w:hAnsiTheme="majorBidi" w:cstheme="majorBidi"/>
          <w:sz w:val="24"/>
          <w:szCs w:val="24"/>
        </w:rPr>
        <w:t xml:space="preserve"> percent</w:t>
      </w:r>
      <w:r w:rsidR="00A24D88" w:rsidRPr="0093413E">
        <w:rPr>
          <w:rFonts w:asciiTheme="majorBidi" w:hAnsiTheme="majorBidi" w:cstheme="majorBidi"/>
          <w:sz w:val="24"/>
          <w:szCs w:val="24"/>
        </w:rPr>
        <w:t xml:space="preserve">), </w:t>
      </w:r>
      <w:r w:rsidR="00FA530C" w:rsidRPr="0093413E">
        <w:rPr>
          <w:rFonts w:asciiTheme="majorBidi" w:hAnsiTheme="majorBidi" w:cstheme="majorBidi"/>
          <w:sz w:val="24"/>
          <w:szCs w:val="24"/>
        </w:rPr>
        <w:t xml:space="preserve">respectively. </w:t>
      </w:r>
    </w:p>
    <w:p w14:paraId="3758F196" w14:textId="0B1D0F1F" w:rsidR="00C07321" w:rsidRPr="0093413E" w:rsidRDefault="007147CE" w:rsidP="005853BF">
      <w:pPr>
        <w:pStyle w:val="Heading3"/>
        <w:numPr>
          <w:ilvl w:val="0"/>
          <w:numId w:val="0"/>
        </w:numPr>
        <w:ind w:left="90"/>
        <w:rPr>
          <w:rFonts w:asciiTheme="majorBidi" w:hAnsiTheme="majorBidi"/>
          <w:color w:val="auto"/>
          <w:sz w:val="24"/>
          <w:szCs w:val="24"/>
        </w:rPr>
      </w:pPr>
      <w:r w:rsidRPr="0093413E">
        <w:rPr>
          <w:rFonts w:asciiTheme="majorBidi" w:hAnsiTheme="majorBidi"/>
          <w:color w:val="auto"/>
          <w:sz w:val="24"/>
          <w:szCs w:val="24"/>
        </w:rPr>
        <w:t xml:space="preserve">3.2 </w:t>
      </w:r>
      <w:r w:rsidR="00C07321" w:rsidRPr="0093413E">
        <w:rPr>
          <w:rFonts w:asciiTheme="majorBidi" w:hAnsiTheme="majorBidi"/>
          <w:color w:val="auto"/>
          <w:sz w:val="24"/>
          <w:szCs w:val="24"/>
        </w:rPr>
        <w:t>Variable Descriptions</w:t>
      </w:r>
    </w:p>
    <w:p w14:paraId="06C3A12A" w14:textId="18128A19" w:rsidR="00BF4F02" w:rsidRPr="0093413E" w:rsidRDefault="007147CE" w:rsidP="005853BF">
      <w:pPr>
        <w:pStyle w:val="Heading3"/>
        <w:numPr>
          <w:ilvl w:val="0"/>
          <w:numId w:val="0"/>
        </w:numPr>
        <w:ind w:left="90"/>
        <w:rPr>
          <w:rFonts w:asciiTheme="majorBidi" w:hAnsiTheme="majorBidi"/>
          <w:color w:val="auto"/>
          <w:sz w:val="24"/>
          <w:szCs w:val="24"/>
        </w:rPr>
      </w:pPr>
      <w:r w:rsidRPr="0093413E">
        <w:rPr>
          <w:rFonts w:asciiTheme="majorBidi" w:hAnsiTheme="majorBidi"/>
          <w:color w:val="auto"/>
          <w:sz w:val="24"/>
          <w:szCs w:val="24"/>
        </w:rPr>
        <w:t>3.2</w:t>
      </w:r>
      <w:r w:rsidR="003F09BA" w:rsidRPr="0093413E">
        <w:rPr>
          <w:rFonts w:asciiTheme="majorBidi" w:hAnsiTheme="majorBidi"/>
          <w:color w:val="auto"/>
          <w:sz w:val="24"/>
          <w:szCs w:val="24"/>
        </w:rPr>
        <w:t xml:space="preserve">.1 </w:t>
      </w:r>
      <w:r w:rsidR="00D96C61" w:rsidRPr="0093413E">
        <w:rPr>
          <w:rFonts w:asciiTheme="majorBidi" w:hAnsiTheme="majorBidi"/>
          <w:color w:val="auto"/>
          <w:sz w:val="24"/>
          <w:szCs w:val="24"/>
        </w:rPr>
        <w:t>Dependent Variables</w:t>
      </w:r>
    </w:p>
    <w:p w14:paraId="165170E8" w14:textId="592699F4" w:rsidR="00EF5D43" w:rsidRPr="0093413E" w:rsidRDefault="003F5549" w:rsidP="005853BF">
      <w:pPr>
        <w:widowControl/>
        <w:adjustRightInd w:val="0"/>
        <w:jc w:val="both"/>
        <w:rPr>
          <w:rFonts w:asciiTheme="majorBidi" w:hAnsiTheme="majorBidi" w:cstheme="majorBidi"/>
          <w:sz w:val="24"/>
          <w:szCs w:val="24"/>
        </w:rPr>
      </w:pPr>
      <w:r w:rsidRPr="0093413E">
        <w:rPr>
          <w:rFonts w:asciiTheme="majorBidi" w:hAnsiTheme="majorBidi" w:cstheme="majorBidi"/>
          <w:sz w:val="24"/>
          <w:szCs w:val="24"/>
        </w:rPr>
        <w:t xml:space="preserve">To </w:t>
      </w:r>
      <w:r w:rsidR="006B598F" w:rsidRPr="0093413E">
        <w:rPr>
          <w:rFonts w:asciiTheme="majorBidi" w:hAnsiTheme="majorBidi" w:cstheme="majorBidi"/>
          <w:sz w:val="24"/>
          <w:szCs w:val="24"/>
        </w:rPr>
        <w:t>examine</w:t>
      </w:r>
      <w:r w:rsidRPr="0093413E">
        <w:rPr>
          <w:rFonts w:asciiTheme="majorBidi" w:hAnsiTheme="majorBidi" w:cstheme="majorBidi"/>
          <w:sz w:val="24"/>
          <w:szCs w:val="24"/>
        </w:rPr>
        <w:t xml:space="preserve"> the </w:t>
      </w:r>
      <w:r w:rsidR="006B598F" w:rsidRPr="0093413E">
        <w:rPr>
          <w:rFonts w:asciiTheme="majorBidi" w:hAnsiTheme="majorBidi" w:cstheme="majorBidi"/>
          <w:sz w:val="24"/>
          <w:szCs w:val="24"/>
        </w:rPr>
        <w:t>impact</w:t>
      </w:r>
      <w:r w:rsidRPr="0093413E">
        <w:rPr>
          <w:rFonts w:asciiTheme="majorBidi" w:hAnsiTheme="majorBidi" w:cstheme="majorBidi"/>
          <w:sz w:val="24"/>
          <w:szCs w:val="24"/>
        </w:rPr>
        <w:t xml:space="preserve"> of ESG </w:t>
      </w:r>
      <w:r w:rsidR="006B598F" w:rsidRPr="0093413E">
        <w:rPr>
          <w:rFonts w:asciiTheme="majorBidi" w:hAnsiTheme="majorBidi" w:cstheme="majorBidi"/>
          <w:sz w:val="24"/>
          <w:szCs w:val="24"/>
        </w:rPr>
        <w:t xml:space="preserve">on the cost of debt we utilize both direct and indirect measures of </w:t>
      </w:r>
      <w:r w:rsidR="00C327AA" w:rsidRPr="0093413E">
        <w:rPr>
          <w:rFonts w:asciiTheme="majorBidi" w:hAnsiTheme="majorBidi" w:cstheme="majorBidi"/>
          <w:sz w:val="24"/>
          <w:szCs w:val="24"/>
        </w:rPr>
        <w:t>the cost</w:t>
      </w:r>
      <w:r w:rsidR="006B598F" w:rsidRPr="0093413E">
        <w:rPr>
          <w:rFonts w:asciiTheme="majorBidi" w:hAnsiTheme="majorBidi" w:cstheme="majorBidi"/>
          <w:sz w:val="24"/>
          <w:szCs w:val="24"/>
        </w:rPr>
        <w:t xml:space="preserve"> of debt. </w:t>
      </w:r>
      <w:r w:rsidR="009439AC" w:rsidRPr="0093413E">
        <w:rPr>
          <w:rFonts w:asciiTheme="majorBidi" w:hAnsiTheme="majorBidi" w:cstheme="majorBidi"/>
          <w:sz w:val="24"/>
          <w:szCs w:val="24"/>
        </w:rPr>
        <w:t>W</w:t>
      </w:r>
      <w:r w:rsidR="00873B75" w:rsidRPr="0093413E">
        <w:rPr>
          <w:rFonts w:asciiTheme="majorBidi" w:hAnsiTheme="majorBidi" w:cstheme="majorBidi"/>
          <w:sz w:val="24"/>
          <w:szCs w:val="24"/>
        </w:rPr>
        <w:t xml:space="preserve">e </w:t>
      </w:r>
      <w:r w:rsidR="00A866E4" w:rsidRPr="0093413E">
        <w:rPr>
          <w:rFonts w:asciiTheme="majorBidi" w:hAnsiTheme="majorBidi" w:cstheme="majorBidi"/>
          <w:sz w:val="24"/>
          <w:szCs w:val="24"/>
        </w:rPr>
        <w:t xml:space="preserve">use </w:t>
      </w:r>
      <w:r w:rsidR="009439AC" w:rsidRPr="0093413E">
        <w:rPr>
          <w:rFonts w:asciiTheme="majorBidi" w:hAnsiTheme="majorBidi" w:cstheme="majorBidi"/>
          <w:sz w:val="24"/>
          <w:szCs w:val="24"/>
        </w:rPr>
        <w:t xml:space="preserve">the yield spread </w:t>
      </w:r>
      <w:r w:rsidR="00962086" w:rsidRPr="0093413E">
        <w:rPr>
          <w:rFonts w:asciiTheme="majorBidi" w:hAnsiTheme="majorBidi" w:cstheme="majorBidi"/>
          <w:sz w:val="24"/>
          <w:szCs w:val="24"/>
        </w:rPr>
        <w:t>as proxy for the cost of debt. yield spread is the</w:t>
      </w:r>
      <w:r w:rsidR="00A866E4" w:rsidRPr="0093413E">
        <w:rPr>
          <w:rFonts w:asciiTheme="majorBidi" w:hAnsiTheme="majorBidi" w:cstheme="majorBidi"/>
          <w:sz w:val="24"/>
          <w:szCs w:val="24"/>
        </w:rPr>
        <w:t xml:space="preserve"> literature standard measure of</w:t>
      </w:r>
      <w:r w:rsidR="00547BA2" w:rsidRPr="0093413E">
        <w:rPr>
          <w:rFonts w:asciiTheme="majorBidi" w:hAnsiTheme="majorBidi" w:cstheme="majorBidi"/>
          <w:sz w:val="24"/>
          <w:szCs w:val="24"/>
        </w:rPr>
        <w:t xml:space="preserve"> bonds</w:t>
      </w:r>
      <w:r w:rsidR="00A866E4" w:rsidRPr="0093413E">
        <w:rPr>
          <w:rFonts w:asciiTheme="majorBidi" w:hAnsiTheme="majorBidi" w:cstheme="majorBidi"/>
          <w:sz w:val="24"/>
          <w:szCs w:val="24"/>
        </w:rPr>
        <w:t xml:space="preserve"> risk </w:t>
      </w:r>
      <w:proofErr w:type="gramStart"/>
      <w:r w:rsidR="00A866E4" w:rsidRPr="0093413E">
        <w:rPr>
          <w:rFonts w:asciiTheme="majorBidi" w:hAnsiTheme="majorBidi" w:cstheme="majorBidi"/>
          <w:sz w:val="24"/>
          <w:szCs w:val="24"/>
        </w:rPr>
        <w:t xml:space="preserve">premium </w:t>
      </w:r>
      <w:r w:rsidR="00873B75" w:rsidRPr="0093413E">
        <w:rPr>
          <w:rFonts w:asciiTheme="majorBidi" w:hAnsiTheme="majorBidi" w:cstheme="majorBidi"/>
          <w:sz w:val="24"/>
          <w:szCs w:val="24"/>
        </w:rPr>
        <w:t xml:space="preserve"> </w:t>
      </w:r>
      <w:r w:rsidR="005D6670" w:rsidRPr="0093413E">
        <w:rPr>
          <w:rFonts w:asciiTheme="majorBidi" w:hAnsiTheme="majorBidi" w:cstheme="majorBidi"/>
          <w:sz w:val="24"/>
          <w:szCs w:val="24"/>
        </w:rPr>
        <w:t>(</w:t>
      </w:r>
      <w:proofErr w:type="gramEnd"/>
      <w:r w:rsidR="005D6670" w:rsidRPr="0093413E">
        <w:rPr>
          <w:rFonts w:asciiTheme="majorBidi" w:hAnsiTheme="majorBidi" w:cstheme="majorBidi"/>
          <w:sz w:val="24"/>
          <w:szCs w:val="24"/>
        </w:rPr>
        <w:t>Apergis et al. (2022</w:t>
      </w:r>
      <w:proofErr w:type="gramStart"/>
      <w:r w:rsidR="005D6670" w:rsidRPr="0093413E">
        <w:rPr>
          <w:rFonts w:asciiTheme="majorBidi" w:hAnsiTheme="majorBidi" w:cstheme="majorBidi"/>
          <w:sz w:val="24"/>
          <w:szCs w:val="24"/>
        </w:rPr>
        <w:t>),,</w:t>
      </w:r>
      <w:proofErr w:type="gramEnd"/>
      <w:r w:rsidR="005D6670" w:rsidRPr="0093413E">
        <w:rPr>
          <w:rFonts w:asciiTheme="majorBidi" w:hAnsiTheme="majorBidi" w:cstheme="majorBidi"/>
          <w:sz w:val="24"/>
          <w:szCs w:val="24"/>
        </w:rPr>
        <w:t>Chava (2014</w:t>
      </w:r>
      <w:proofErr w:type="gramStart"/>
      <w:r w:rsidR="005D6670" w:rsidRPr="0093413E">
        <w:rPr>
          <w:rFonts w:asciiTheme="majorBidi" w:hAnsiTheme="majorBidi" w:cstheme="majorBidi"/>
          <w:sz w:val="24"/>
          <w:szCs w:val="24"/>
        </w:rPr>
        <w:t>) ,</w:t>
      </w:r>
      <w:proofErr w:type="gramEnd"/>
      <w:r w:rsidR="005D6670" w:rsidRPr="0093413E">
        <w:rPr>
          <w:rFonts w:asciiTheme="majorBidi" w:hAnsiTheme="majorBidi" w:cstheme="majorBidi"/>
          <w:sz w:val="24"/>
          <w:szCs w:val="24"/>
        </w:rPr>
        <w:t xml:space="preserve"> Oikonomou, Brooks, and </w:t>
      </w:r>
      <w:proofErr w:type="spellStart"/>
      <w:r w:rsidR="005D6670" w:rsidRPr="0093413E">
        <w:rPr>
          <w:rFonts w:asciiTheme="majorBidi" w:hAnsiTheme="majorBidi" w:cstheme="majorBidi"/>
          <w:sz w:val="24"/>
          <w:szCs w:val="24"/>
        </w:rPr>
        <w:t>Pavelin</w:t>
      </w:r>
      <w:proofErr w:type="spellEnd"/>
      <w:r w:rsidR="005D6670" w:rsidRPr="0093413E">
        <w:rPr>
          <w:rFonts w:asciiTheme="majorBidi" w:hAnsiTheme="majorBidi" w:cstheme="majorBidi"/>
          <w:sz w:val="24"/>
          <w:szCs w:val="24"/>
        </w:rPr>
        <w:t xml:space="preserve"> (2014) and </w:t>
      </w:r>
      <w:proofErr w:type="spellStart"/>
      <w:r w:rsidR="005D6670" w:rsidRPr="0093413E">
        <w:rPr>
          <w:rFonts w:asciiTheme="majorBidi" w:hAnsiTheme="majorBidi" w:cstheme="majorBidi"/>
          <w:sz w:val="24"/>
          <w:szCs w:val="24"/>
        </w:rPr>
        <w:t>Polbennikov</w:t>
      </w:r>
      <w:proofErr w:type="spellEnd"/>
      <w:r w:rsidR="005D6670" w:rsidRPr="0093413E">
        <w:rPr>
          <w:rFonts w:asciiTheme="majorBidi" w:hAnsiTheme="majorBidi" w:cstheme="majorBidi"/>
          <w:sz w:val="24"/>
          <w:szCs w:val="24"/>
        </w:rPr>
        <w:t xml:space="preserve"> et al. (2016</w:t>
      </w:r>
      <w:proofErr w:type="gramStart"/>
      <w:r w:rsidR="005D6670" w:rsidRPr="0093413E">
        <w:rPr>
          <w:rFonts w:asciiTheme="majorBidi" w:hAnsiTheme="majorBidi" w:cstheme="majorBidi"/>
          <w:sz w:val="24"/>
          <w:szCs w:val="24"/>
        </w:rPr>
        <w:t>) ,Jiang</w:t>
      </w:r>
      <w:proofErr w:type="gramEnd"/>
      <w:r w:rsidR="005D6670" w:rsidRPr="0093413E">
        <w:rPr>
          <w:rFonts w:asciiTheme="majorBidi" w:hAnsiTheme="majorBidi" w:cstheme="majorBidi"/>
          <w:sz w:val="24"/>
          <w:szCs w:val="24"/>
        </w:rPr>
        <w:t xml:space="preserve"> (2008), and Ortiz-Molina (2006))</w:t>
      </w:r>
      <w:r w:rsidR="00547BA2" w:rsidRPr="0093413E">
        <w:rPr>
          <w:rFonts w:asciiTheme="majorBidi" w:hAnsiTheme="majorBidi" w:cstheme="majorBidi"/>
          <w:sz w:val="24"/>
          <w:szCs w:val="24"/>
        </w:rPr>
        <w:t>. The yield spread is</w:t>
      </w:r>
      <w:r w:rsidR="00873B75" w:rsidRPr="0093413E">
        <w:rPr>
          <w:rFonts w:asciiTheme="majorBidi" w:hAnsiTheme="majorBidi" w:cstheme="majorBidi"/>
          <w:sz w:val="24"/>
          <w:szCs w:val="24"/>
        </w:rPr>
        <w:t xml:space="preserve"> calculated as the </w:t>
      </w:r>
      <w:r w:rsidR="00346003" w:rsidRPr="0093413E">
        <w:rPr>
          <w:rFonts w:asciiTheme="majorBidi" w:hAnsiTheme="majorBidi" w:cstheme="majorBidi"/>
          <w:sz w:val="24"/>
          <w:szCs w:val="24"/>
        </w:rPr>
        <w:t xml:space="preserve">logarithm of </w:t>
      </w:r>
      <w:r w:rsidR="00873B75" w:rsidRPr="0093413E">
        <w:rPr>
          <w:rFonts w:asciiTheme="majorBidi" w:hAnsiTheme="majorBidi" w:cstheme="majorBidi"/>
          <w:sz w:val="24"/>
          <w:szCs w:val="24"/>
        </w:rPr>
        <w:t xml:space="preserve">difference between the yield of </w:t>
      </w:r>
      <w:r w:rsidR="0013215F" w:rsidRPr="0093413E">
        <w:rPr>
          <w:rFonts w:asciiTheme="majorBidi" w:hAnsiTheme="majorBidi" w:cstheme="majorBidi"/>
          <w:sz w:val="24"/>
          <w:szCs w:val="24"/>
        </w:rPr>
        <w:t xml:space="preserve"> </w:t>
      </w:r>
      <w:r w:rsidR="00873B75" w:rsidRPr="0093413E">
        <w:rPr>
          <w:rFonts w:asciiTheme="majorBidi" w:hAnsiTheme="majorBidi" w:cstheme="majorBidi"/>
          <w:sz w:val="24"/>
          <w:szCs w:val="24"/>
        </w:rPr>
        <w:t xml:space="preserve">the bond at issuance and that of </w:t>
      </w:r>
      <w:r w:rsidR="0013215F" w:rsidRPr="0093413E">
        <w:rPr>
          <w:rFonts w:asciiTheme="majorBidi" w:hAnsiTheme="majorBidi" w:cstheme="majorBidi"/>
          <w:sz w:val="24"/>
          <w:szCs w:val="24"/>
        </w:rPr>
        <w:t xml:space="preserve"> the</w:t>
      </w:r>
      <w:r w:rsidR="00873B75" w:rsidRPr="0093413E">
        <w:rPr>
          <w:rFonts w:asciiTheme="majorBidi" w:hAnsiTheme="majorBidi" w:cstheme="majorBidi"/>
          <w:sz w:val="24"/>
          <w:szCs w:val="24"/>
        </w:rPr>
        <w:t xml:space="preserve"> Treasury bond with a comparable maturity.</w:t>
      </w:r>
      <w:r w:rsidR="00CF1409" w:rsidRPr="0093413E">
        <w:rPr>
          <w:rFonts w:asciiTheme="majorBidi" w:hAnsiTheme="majorBidi" w:cstheme="majorBidi"/>
          <w:sz w:val="24"/>
          <w:szCs w:val="24"/>
        </w:rPr>
        <w:t xml:space="preserve"> </w:t>
      </w:r>
    </w:p>
    <w:p w14:paraId="741039A4" w14:textId="22A7C702" w:rsidR="00873B75" w:rsidRPr="0093413E" w:rsidRDefault="007C02AF" w:rsidP="005853BF">
      <w:pPr>
        <w:widowControl/>
        <w:adjustRightInd w:val="0"/>
        <w:jc w:val="both"/>
        <w:rPr>
          <w:rFonts w:asciiTheme="majorBidi" w:hAnsiTheme="majorBidi" w:cstheme="majorBidi"/>
          <w:sz w:val="24"/>
          <w:szCs w:val="24"/>
        </w:rPr>
      </w:pPr>
      <w:r w:rsidRPr="0093413E">
        <w:rPr>
          <w:rFonts w:asciiTheme="majorBidi" w:hAnsiTheme="majorBidi" w:cstheme="majorBidi"/>
          <w:sz w:val="24"/>
          <w:szCs w:val="24"/>
        </w:rPr>
        <w:t xml:space="preserve">The </w:t>
      </w:r>
      <w:r w:rsidR="005D38B6" w:rsidRPr="0093413E">
        <w:rPr>
          <w:rFonts w:asciiTheme="majorBidi" w:hAnsiTheme="majorBidi" w:cstheme="majorBidi"/>
          <w:sz w:val="24"/>
          <w:szCs w:val="24"/>
        </w:rPr>
        <w:t>second</w:t>
      </w:r>
      <w:r w:rsidRPr="0093413E">
        <w:rPr>
          <w:rFonts w:asciiTheme="majorBidi" w:hAnsiTheme="majorBidi" w:cstheme="majorBidi"/>
          <w:sz w:val="24"/>
          <w:szCs w:val="24"/>
        </w:rPr>
        <w:t xml:space="preserve"> dependent variable we employ is the bond rating score</w:t>
      </w:r>
      <w:r w:rsidR="00197934">
        <w:rPr>
          <w:rFonts w:asciiTheme="majorBidi" w:hAnsiTheme="majorBidi" w:cstheme="majorBidi"/>
          <w:sz w:val="24"/>
          <w:szCs w:val="24"/>
        </w:rPr>
        <w:t xml:space="preserve"> (</w:t>
      </w:r>
      <w:r w:rsidR="0036117F">
        <w:t>Ge and Liu (2015),</w:t>
      </w:r>
      <w:r w:rsidR="0036117F" w:rsidRPr="0036117F">
        <w:t xml:space="preserve"> </w:t>
      </w:r>
      <w:r w:rsidR="0036117F">
        <w:t xml:space="preserve">Oikonomou, Brooks, and </w:t>
      </w:r>
      <w:proofErr w:type="spellStart"/>
      <w:r w:rsidR="0036117F">
        <w:t>Pavelin</w:t>
      </w:r>
      <w:proofErr w:type="spellEnd"/>
      <w:r w:rsidR="0036117F">
        <w:t xml:space="preserve"> (2014)</w:t>
      </w:r>
      <w:r w:rsidR="00CC29A2">
        <w:t>,</w:t>
      </w:r>
      <w:r w:rsidR="00CC29A2" w:rsidRPr="00CC29A2">
        <w:t xml:space="preserve"> </w:t>
      </w:r>
      <w:r w:rsidR="009B7AED">
        <w:t xml:space="preserve">Attig et al. </w:t>
      </w:r>
      <w:r w:rsidR="00CC29A2">
        <w:t xml:space="preserve">(2013) and Menz (2010) </w:t>
      </w:r>
      <w:r w:rsidR="009B7AED">
        <w:t>,</w:t>
      </w:r>
      <w:r w:rsidR="009B7AED" w:rsidRPr="009B7AED">
        <w:t xml:space="preserve"> </w:t>
      </w:r>
      <w:r w:rsidR="009B7AED">
        <w:t>Goss and Roberts (2011)</w:t>
      </w:r>
      <w:r w:rsidR="00197934">
        <w:rPr>
          <w:rFonts w:asciiTheme="majorBidi" w:hAnsiTheme="majorBidi" w:cstheme="majorBidi"/>
          <w:sz w:val="24"/>
          <w:szCs w:val="24"/>
        </w:rPr>
        <w:t xml:space="preserve">) </w:t>
      </w:r>
      <w:r w:rsidR="00CB7CC7" w:rsidRPr="0093413E">
        <w:rPr>
          <w:rFonts w:asciiTheme="majorBidi" w:hAnsiTheme="majorBidi" w:cstheme="majorBidi"/>
          <w:sz w:val="24"/>
          <w:szCs w:val="24"/>
        </w:rPr>
        <w:t xml:space="preserve">, which </w:t>
      </w:r>
      <w:r w:rsidR="00C327AA" w:rsidRPr="0093413E">
        <w:rPr>
          <w:rFonts w:asciiTheme="majorBidi" w:hAnsiTheme="majorBidi" w:cstheme="majorBidi"/>
          <w:sz w:val="24"/>
          <w:szCs w:val="24"/>
        </w:rPr>
        <w:t>uses</w:t>
      </w:r>
      <w:r w:rsidR="00CB7CC7" w:rsidRPr="0093413E">
        <w:rPr>
          <w:rFonts w:asciiTheme="majorBidi" w:hAnsiTheme="majorBidi" w:cstheme="majorBidi"/>
          <w:sz w:val="24"/>
          <w:szCs w:val="24"/>
        </w:rPr>
        <w:t xml:space="preserve"> the Moody’s rating of the new issues. </w:t>
      </w:r>
      <w:r w:rsidR="00AD1E83" w:rsidRPr="0093413E">
        <w:rPr>
          <w:rFonts w:asciiTheme="majorBidi" w:hAnsiTheme="majorBidi" w:cstheme="majorBidi"/>
          <w:sz w:val="24"/>
          <w:szCs w:val="24"/>
        </w:rPr>
        <w:t xml:space="preserve">We converted Moody’s rating to a </w:t>
      </w:r>
      <w:r w:rsidR="00FC5D0E" w:rsidRPr="0093413E">
        <w:rPr>
          <w:rFonts w:asciiTheme="majorBidi" w:hAnsiTheme="majorBidi" w:cstheme="majorBidi"/>
          <w:sz w:val="24"/>
          <w:szCs w:val="24"/>
        </w:rPr>
        <w:t xml:space="preserve"> ranking scale </w:t>
      </w:r>
      <w:r w:rsidR="009C3E4B" w:rsidRPr="0093413E">
        <w:rPr>
          <w:rFonts w:asciiTheme="majorBidi" w:hAnsiTheme="majorBidi" w:cstheme="majorBidi"/>
          <w:sz w:val="24"/>
          <w:szCs w:val="24"/>
        </w:rPr>
        <w:t>range</w:t>
      </w:r>
      <w:r w:rsidR="00FC5D0E" w:rsidRPr="0093413E">
        <w:rPr>
          <w:rFonts w:asciiTheme="majorBidi" w:hAnsiTheme="majorBidi" w:cstheme="majorBidi"/>
          <w:sz w:val="24"/>
          <w:szCs w:val="24"/>
        </w:rPr>
        <w:t xml:space="preserve"> between 1 (for the lowest rated bonds) and 21 (for the highest rated bonds)</w:t>
      </w:r>
      <w:r w:rsidR="00AD1E83" w:rsidRPr="0093413E">
        <w:rPr>
          <w:rFonts w:asciiTheme="majorBidi" w:hAnsiTheme="majorBidi" w:cstheme="majorBidi"/>
          <w:sz w:val="24"/>
          <w:szCs w:val="24"/>
        </w:rPr>
        <w:t xml:space="preserve">. </w:t>
      </w:r>
      <w:r w:rsidR="007263A9" w:rsidRPr="0093413E">
        <w:rPr>
          <w:rFonts w:asciiTheme="majorBidi" w:hAnsiTheme="majorBidi" w:cstheme="majorBidi"/>
          <w:sz w:val="24"/>
          <w:szCs w:val="24"/>
        </w:rPr>
        <w:t xml:space="preserve">Bonds that are not rated </w:t>
      </w:r>
      <w:r w:rsidR="00967FB7" w:rsidRPr="0093413E">
        <w:rPr>
          <w:rFonts w:asciiTheme="majorBidi" w:hAnsiTheme="majorBidi" w:cstheme="majorBidi"/>
          <w:sz w:val="24"/>
          <w:szCs w:val="24"/>
        </w:rPr>
        <w:t>received</w:t>
      </w:r>
      <w:r w:rsidR="007263A9" w:rsidRPr="0093413E">
        <w:rPr>
          <w:rFonts w:asciiTheme="majorBidi" w:hAnsiTheme="majorBidi" w:cstheme="majorBidi"/>
          <w:sz w:val="24"/>
          <w:szCs w:val="24"/>
        </w:rPr>
        <w:t xml:space="preserve"> the value of Zero. </w:t>
      </w:r>
      <w:r w:rsidR="00D37FA1" w:rsidRPr="0093413E">
        <w:rPr>
          <w:rFonts w:asciiTheme="majorBidi" w:hAnsiTheme="majorBidi" w:cstheme="majorBidi"/>
          <w:sz w:val="24"/>
          <w:szCs w:val="24"/>
        </w:rPr>
        <w:t xml:space="preserve">Appendix </w:t>
      </w:r>
      <w:r w:rsidR="003F5549" w:rsidRPr="0093413E">
        <w:rPr>
          <w:rFonts w:asciiTheme="majorBidi" w:hAnsiTheme="majorBidi" w:cstheme="majorBidi"/>
          <w:sz w:val="24"/>
          <w:szCs w:val="24"/>
        </w:rPr>
        <w:t>C</w:t>
      </w:r>
      <w:r w:rsidR="00D37FA1" w:rsidRPr="0093413E">
        <w:rPr>
          <w:rFonts w:asciiTheme="majorBidi" w:hAnsiTheme="majorBidi" w:cstheme="majorBidi"/>
          <w:sz w:val="24"/>
          <w:szCs w:val="24"/>
        </w:rPr>
        <w:t xml:space="preserve"> </w:t>
      </w:r>
      <w:r w:rsidR="00C327AA" w:rsidRPr="0093413E">
        <w:rPr>
          <w:rFonts w:asciiTheme="majorBidi" w:hAnsiTheme="majorBidi" w:cstheme="majorBidi"/>
          <w:sz w:val="24"/>
          <w:szCs w:val="24"/>
        </w:rPr>
        <w:t>presents</w:t>
      </w:r>
      <w:r w:rsidR="00D37FA1" w:rsidRPr="0093413E">
        <w:rPr>
          <w:rFonts w:asciiTheme="majorBidi" w:hAnsiTheme="majorBidi" w:cstheme="majorBidi"/>
          <w:sz w:val="24"/>
          <w:szCs w:val="24"/>
        </w:rPr>
        <w:t xml:space="preserve"> </w:t>
      </w:r>
      <w:r w:rsidR="00EA0EDA" w:rsidRPr="0093413E">
        <w:rPr>
          <w:rFonts w:asciiTheme="majorBidi" w:hAnsiTheme="majorBidi" w:cstheme="majorBidi"/>
          <w:sz w:val="24"/>
          <w:szCs w:val="24"/>
        </w:rPr>
        <w:t>Moody’s Rating System definitions</w:t>
      </w:r>
      <w:r w:rsidR="00D37FA1" w:rsidRPr="0093413E">
        <w:rPr>
          <w:rFonts w:asciiTheme="majorBidi" w:hAnsiTheme="majorBidi" w:cstheme="majorBidi"/>
          <w:sz w:val="24"/>
          <w:szCs w:val="24"/>
        </w:rPr>
        <w:t xml:space="preserve">. </w:t>
      </w:r>
    </w:p>
    <w:p w14:paraId="74FE852C" w14:textId="3456B17C" w:rsidR="003E6A00" w:rsidRPr="0093413E" w:rsidRDefault="00B34E22" w:rsidP="005853BF">
      <w:pPr>
        <w:pStyle w:val="NormalWeb"/>
        <w:spacing w:before="0" w:beforeAutospacing="0" w:after="0" w:afterAutospacing="0"/>
        <w:ind w:firstLine="432"/>
        <w:jc w:val="both"/>
        <w:rPr>
          <w:rFonts w:asciiTheme="majorBidi" w:hAnsiTheme="majorBidi" w:cstheme="majorBidi"/>
        </w:rPr>
      </w:pPr>
      <w:r w:rsidRPr="0093413E">
        <w:rPr>
          <w:rFonts w:asciiTheme="majorBidi" w:hAnsiTheme="majorBidi" w:cstheme="majorBidi"/>
        </w:rPr>
        <w:t xml:space="preserve">The </w:t>
      </w:r>
      <w:proofErr w:type="gramStart"/>
      <w:r w:rsidR="005D38B6" w:rsidRPr="0093413E">
        <w:rPr>
          <w:rFonts w:asciiTheme="majorBidi" w:hAnsiTheme="majorBidi" w:cstheme="majorBidi"/>
        </w:rPr>
        <w:t>third</w:t>
      </w:r>
      <w:r w:rsidRPr="0093413E">
        <w:rPr>
          <w:rFonts w:asciiTheme="majorBidi" w:hAnsiTheme="majorBidi" w:cstheme="majorBidi"/>
        </w:rPr>
        <w:t xml:space="preserve">  dependent</w:t>
      </w:r>
      <w:proofErr w:type="gramEnd"/>
      <w:r w:rsidRPr="0093413E">
        <w:rPr>
          <w:rFonts w:asciiTheme="majorBidi" w:hAnsiTheme="majorBidi" w:cstheme="majorBidi"/>
        </w:rPr>
        <w:t xml:space="preserve"> variable we employ is </w:t>
      </w:r>
      <w:r w:rsidR="00C05583" w:rsidRPr="0093413E">
        <w:rPr>
          <w:rFonts w:asciiTheme="majorBidi" w:hAnsiTheme="majorBidi" w:cstheme="majorBidi"/>
        </w:rPr>
        <w:t xml:space="preserve">the cumulative abnormal return around the bond </w:t>
      </w:r>
      <w:proofErr w:type="gramStart"/>
      <w:r w:rsidR="00C05583" w:rsidRPr="0093413E">
        <w:rPr>
          <w:rFonts w:asciiTheme="majorBidi" w:hAnsiTheme="majorBidi" w:cstheme="majorBidi"/>
        </w:rPr>
        <w:t xml:space="preserve">issue </w:t>
      </w:r>
      <w:r w:rsidR="00E05ED6" w:rsidRPr="0093413E">
        <w:rPr>
          <w:rFonts w:asciiTheme="majorBidi" w:hAnsiTheme="majorBidi" w:cstheme="majorBidi"/>
        </w:rPr>
        <w:t xml:space="preserve"> </w:t>
      </w:r>
      <w:r w:rsidR="00C05583" w:rsidRPr="0093413E">
        <w:rPr>
          <w:rFonts w:asciiTheme="majorBidi" w:hAnsiTheme="majorBidi" w:cstheme="majorBidi"/>
        </w:rPr>
        <w:t>announcement</w:t>
      </w:r>
      <w:proofErr w:type="gramEnd"/>
      <w:r w:rsidR="00E619E9">
        <w:rPr>
          <w:rFonts w:asciiTheme="majorBidi" w:hAnsiTheme="majorBidi" w:cstheme="majorBidi"/>
        </w:rPr>
        <w:t xml:space="preserve"> (</w:t>
      </w:r>
      <w:r w:rsidR="003E2F6C">
        <w:t>Mikkelson and Partch (1986),</w:t>
      </w:r>
      <w:r w:rsidR="003E2F6C" w:rsidRPr="003E2F6C">
        <w:t xml:space="preserve"> </w:t>
      </w:r>
      <w:r w:rsidR="003E2F6C">
        <w:t xml:space="preserve">Similarly, </w:t>
      </w:r>
      <w:proofErr w:type="spellStart"/>
      <w:r w:rsidR="003E2F6C">
        <w:t>Eckbo</w:t>
      </w:r>
      <w:proofErr w:type="spellEnd"/>
      <w:r w:rsidR="003E2F6C">
        <w:t xml:space="preserve"> (1986)</w:t>
      </w:r>
      <w:r w:rsidR="00966A3B" w:rsidRPr="00966A3B">
        <w:t xml:space="preserve"> </w:t>
      </w:r>
      <w:r w:rsidR="00966A3B">
        <w:t>Chaplinsky and Hansen (1993),</w:t>
      </w:r>
      <w:r w:rsidR="00966A3B" w:rsidRPr="00966A3B">
        <w:t xml:space="preserve"> </w:t>
      </w:r>
      <w:r w:rsidR="00966A3B">
        <w:t>Howton, Howton, and Perfect (1998)</w:t>
      </w:r>
      <w:proofErr w:type="gramStart"/>
      <w:r w:rsidR="00E619E9">
        <w:rPr>
          <w:rFonts w:asciiTheme="majorBidi" w:hAnsiTheme="majorBidi" w:cstheme="majorBidi"/>
        </w:rPr>
        <w:t>)</w:t>
      </w:r>
      <w:r w:rsidR="004A6BAD" w:rsidRPr="0093413E">
        <w:rPr>
          <w:rFonts w:asciiTheme="majorBidi" w:hAnsiTheme="majorBidi" w:cstheme="majorBidi"/>
        </w:rPr>
        <w:t>, we</w:t>
      </w:r>
      <w:proofErr w:type="gramEnd"/>
      <w:r w:rsidR="004A6BAD" w:rsidRPr="0093413E">
        <w:rPr>
          <w:rFonts w:asciiTheme="majorBidi" w:hAnsiTheme="majorBidi" w:cstheme="majorBidi"/>
        </w:rPr>
        <w:t xml:space="preserve"> </w:t>
      </w:r>
      <w:r w:rsidR="00C05583" w:rsidRPr="0093413E">
        <w:rPr>
          <w:rFonts w:asciiTheme="majorBidi" w:hAnsiTheme="majorBidi" w:cstheme="majorBidi"/>
        </w:rPr>
        <w:t xml:space="preserve">use </w:t>
      </w:r>
      <w:r w:rsidR="00681019" w:rsidRPr="0093413E">
        <w:rPr>
          <w:rFonts w:asciiTheme="majorBidi" w:hAnsiTheme="majorBidi" w:cstheme="majorBidi"/>
        </w:rPr>
        <w:t xml:space="preserve">conventional event study </w:t>
      </w:r>
      <w:r w:rsidR="00F839F3" w:rsidRPr="0093413E">
        <w:rPr>
          <w:rFonts w:asciiTheme="majorBidi" w:hAnsiTheme="majorBidi" w:cstheme="majorBidi"/>
        </w:rPr>
        <w:t>methodology</w:t>
      </w:r>
      <w:r w:rsidR="00C05583" w:rsidRPr="0093413E">
        <w:rPr>
          <w:rFonts w:asciiTheme="majorBidi" w:hAnsiTheme="majorBidi" w:cstheme="majorBidi"/>
        </w:rPr>
        <w:t xml:space="preserve"> to calculate the </w:t>
      </w:r>
      <w:r w:rsidR="00361E2D" w:rsidRPr="0093413E">
        <w:rPr>
          <w:rFonts w:asciiTheme="majorBidi" w:hAnsiTheme="majorBidi" w:cstheme="majorBidi"/>
        </w:rPr>
        <w:t>3</w:t>
      </w:r>
      <w:r w:rsidR="00C05583" w:rsidRPr="0093413E">
        <w:rPr>
          <w:rFonts w:asciiTheme="majorBidi" w:hAnsiTheme="majorBidi" w:cstheme="majorBidi"/>
        </w:rPr>
        <w:t xml:space="preserve"> days </w:t>
      </w:r>
      <w:proofErr w:type="gramStart"/>
      <w:r w:rsidR="00C05583" w:rsidRPr="0093413E">
        <w:rPr>
          <w:rFonts w:asciiTheme="majorBidi" w:hAnsiTheme="majorBidi" w:cstheme="majorBidi"/>
        </w:rPr>
        <w:t xml:space="preserve">window </w:t>
      </w:r>
      <w:r w:rsidR="00F839F3" w:rsidRPr="0093413E">
        <w:rPr>
          <w:rFonts w:asciiTheme="majorBidi" w:hAnsiTheme="majorBidi" w:cstheme="majorBidi"/>
        </w:rPr>
        <w:t xml:space="preserve"> </w:t>
      </w:r>
      <w:r w:rsidR="00C05583" w:rsidRPr="0093413E">
        <w:rPr>
          <w:rFonts w:asciiTheme="majorBidi" w:hAnsiTheme="majorBidi" w:cstheme="majorBidi"/>
        </w:rPr>
        <w:t>cumulative</w:t>
      </w:r>
      <w:proofErr w:type="gramEnd"/>
      <w:r w:rsidR="00C05583" w:rsidRPr="0093413E">
        <w:rPr>
          <w:rFonts w:asciiTheme="majorBidi" w:hAnsiTheme="majorBidi" w:cstheme="majorBidi"/>
        </w:rPr>
        <w:t xml:space="preserve"> abnormal return. </w:t>
      </w:r>
      <w:r w:rsidR="003E6A00" w:rsidRPr="0093413E">
        <w:rPr>
          <w:rFonts w:asciiTheme="majorBidi" w:hAnsiTheme="majorBidi" w:cstheme="majorBidi"/>
        </w:rPr>
        <w:t xml:space="preserve">The single-factor market model </w:t>
      </w:r>
      <w:r w:rsidR="00406AC2" w:rsidRPr="0093413E">
        <w:rPr>
          <w:rFonts w:asciiTheme="majorBidi" w:hAnsiTheme="majorBidi" w:cstheme="majorBidi"/>
        </w:rPr>
        <w:t>we use is:</w:t>
      </w:r>
    </w:p>
    <w:p w14:paraId="6347DFBE" w14:textId="77777777" w:rsidR="003E6A00" w:rsidRPr="0093413E" w:rsidRDefault="007E3599" w:rsidP="005853BF">
      <w:pPr>
        <w:adjustRightInd w:val="0"/>
        <w:ind w:firstLine="720"/>
        <w:jc w:val="both"/>
        <w:rPr>
          <w:rFonts w:asciiTheme="majorBidi" w:hAnsiTheme="majorBidi" w:cstheme="majorBidi"/>
          <w: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it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r>
                <w:rPr>
                  <w:rFonts w:ascii="Cambria Math" w:hAnsi="Cambria Math" w:cstheme="majorBidi"/>
                  <w:sz w:val="24"/>
                  <w:szCs w:val="24"/>
                </w:rPr>
                <m:t xml:space="preserve"> </m:t>
              </m:r>
            </m:sub>
          </m:sSub>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it</m:t>
              </m:r>
            </m:sub>
          </m:sSub>
        </m:oMath>
      </m:oMathPara>
    </w:p>
    <w:p w14:paraId="360939E1" w14:textId="584D820A" w:rsidR="003E6A00" w:rsidRPr="0093413E" w:rsidRDefault="003E6A00" w:rsidP="005853BF">
      <w:pPr>
        <w:adjustRightInd w:val="0"/>
        <w:jc w:val="both"/>
        <w:rPr>
          <w:rFonts w:asciiTheme="majorBidi" w:hAnsiTheme="majorBidi" w:cstheme="majorBidi"/>
          <w:i/>
          <w:sz w:val="24"/>
          <w:szCs w:val="24"/>
        </w:rPr>
      </w:pPr>
      <w:r w:rsidRPr="0093413E">
        <w:rPr>
          <w:rFonts w:asciiTheme="majorBidi" w:hAnsiTheme="majorBidi" w:cstheme="majorBidi"/>
          <w:sz w:val="24"/>
          <w:szCs w:val="24"/>
        </w:rPr>
        <w:t xml:space="preserve">where </w:t>
      </w:r>
      <w:r w:rsidRPr="0093413E">
        <w:rPr>
          <w:rFonts w:asciiTheme="majorBidi" w:hAnsiTheme="majorBidi" w:cstheme="majorBidi"/>
          <w:sz w:val="24"/>
          <w:szCs w:val="24"/>
        </w:rPr>
        <w:fldChar w:fldCharType="begin"/>
      </w:r>
      <w:r w:rsidRPr="0093413E">
        <w:rPr>
          <w:rFonts w:asciiTheme="majorBidi" w:hAnsiTheme="majorBidi" w:cstheme="majorBidi"/>
          <w:sz w:val="24"/>
          <w:szCs w:val="24"/>
        </w:rPr>
        <w:instrText xml:space="preserve"> QUOTE </w:instrText>
      </w:r>
      <w:r w:rsidRPr="0093413E">
        <w:rPr>
          <w:rFonts w:asciiTheme="majorBidi" w:hAnsiTheme="majorBidi" w:cstheme="majorBidi"/>
          <w:noProof/>
          <w:sz w:val="24"/>
          <w:szCs w:val="24"/>
        </w:rPr>
        <w:drawing>
          <wp:inline distT="0" distB="0" distL="0" distR="0" wp14:anchorId="3A0B7E02" wp14:editId="65EDF302">
            <wp:extent cx="209550" cy="171450"/>
            <wp:effectExtent l="19050" t="0" r="0" b="0"/>
            <wp:docPr id="1212626365" name="Picture 121262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93413E">
        <w:rPr>
          <w:rFonts w:asciiTheme="majorBidi" w:hAnsiTheme="majorBidi" w:cstheme="majorBidi"/>
          <w:sz w:val="24"/>
          <w:szCs w:val="24"/>
        </w:rPr>
        <w:instrText xml:space="preserve"> </w:instrText>
      </w:r>
      <w:r w:rsidRPr="0093413E">
        <w:rPr>
          <w:rFonts w:asciiTheme="majorBidi" w:hAnsiTheme="majorBidi" w:cstheme="majorBidi"/>
          <w:sz w:val="24"/>
          <w:szCs w:val="24"/>
        </w:rPr>
        <w:fldChar w:fldCharType="separate"/>
      </w: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it</m:t>
            </m:r>
          </m:sub>
        </m:sSub>
      </m:oMath>
      <w:r w:rsidRPr="0093413E">
        <w:rPr>
          <w:rFonts w:asciiTheme="majorBidi" w:hAnsiTheme="majorBidi" w:cstheme="majorBidi"/>
          <w:sz w:val="24"/>
          <w:szCs w:val="24"/>
        </w:rPr>
        <w:fldChar w:fldCharType="end"/>
      </w:r>
      <w:r w:rsidRPr="0093413E">
        <w:rPr>
          <w:rFonts w:asciiTheme="majorBidi" w:hAnsiTheme="majorBidi" w:cstheme="majorBidi"/>
          <w:sz w:val="24"/>
          <w:szCs w:val="24"/>
        </w:rPr>
        <w:t xml:space="preserve"> is the rate of return of common stock for issuer </w:t>
      </w:r>
      <w:r w:rsidRPr="0093413E">
        <w:rPr>
          <w:rFonts w:asciiTheme="majorBidi" w:hAnsiTheme="majorBidi" w:cstheme="majorBidi"/>
          <w:i/>
          <w:iCs/>
          <w:sz w:val="24"/>
          <w:szCs w:val="24"/>
        </w:rPr>
        <w:t>i</w:t>
      </w:r>
      <w:r w:rsidRPr="0093413E">
        <w:rPr>
          <w:rFonts w:asciiTheme="majorBidi" w:hAnsiTheme="majorBidi" w:cstheme="majorBidi"/>
          <w:sz w:val="24"/>
          <w:szCs w:val="24"/>
        </w:rPr>
        <w:t xml:space="preserve"> on day </w:t>
      </w:r>
      <w:r w:rsidRPr="0093413E">
        <w:rPr>
          <w:rFonts w:asciiTheme="majorBidi" w:hAnsiTheme="majorBidi" w:cstheme="majorBidi"/>
          <w:sz w:val="24"/>
          <w:szCs w:val="24"/>
        </w:rPr>
        <w:fldChar w:fldCharType="begin"/>
      </w:r>
      <w:r w:rsidRPr="0093413E">
        <w:rPr>
          <w:rFonts w:asciiTheme="majorBidi" w:hAnsiTheme="majorBidi" w:cstheme="majorBidi"/>
          <w:sz w:val="24"/>
          <w:szCs w:val="24"/>
        </w:rPr>
        <w:instrText xml:space="preserve"> QUOTE </w:instrText>
      </w:r>
      <w:r w:rsidRPr="0093413E">
        <w:rPr>
          <w:rFonts w:asciiTheme="majorBidi" w:hAnsiTheme="majorBidi" w:cstheme="majorBidi"/>
          <w:noProof/>
          <w:sz w:val="24"/>
          <w:szCs w:val="24"/>
        </w:rPr>
        <w:drawing>
          <wp:inline distT="0" distB="0" distL="0" distR="0" wp14:anchorId="749088B0" wp14:editId="67D8B688">
            <wp:extent cx="165100" cy="152400"/>
            <wp:effectExtent l="19050" t="0" r="6350" b="0"/>
            <wp:docPr id="879137293" name="Picture 87913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65100" cy="152400"/>
                    </a:xfrm>
                    <a:prstGeom prst="rect">
                      <a:avLst/>
                    </a:prstGeom>
                    <a:noFill/>
                    <a:ln w="9525">
                      <a:noFill/>
                      <a:miter lim="800000"/>
                      <a:headEnd/>
                      <a:tailEnd/>
                    </a:ln>
                  </pic:spPr>
                </pic:pic>
              </a:graphicData>
            </a:graphic>
          </wp:inline>
        </w:drawing>
      </w:r>
      <w:r w:rsidRPr="0093413E">
        <w:rPr>
          <w:rFonts w:asciiTheme="majorBidi" w:hAnsiTheme="majorBidi" w:cstheme="majorBidi"/>
          <w:sz w:val="24"/>
          <w:szCs w:val="24"/>
        </w:rPr>
        <w:instrText xml:space="preserve"> </w:instrText>
      </w:r>
      <w:r w:rsidRPr="0093413E">
        <w:rPr>
          <w:rFonts w:asciiTheme="majorBidi" w:hAnsiTheme="majorBidi" w:cstheme="majorBidi"/>
          <w:sz w:val="24"/>
          <w:szCs w:val="24"/>
        </w:rPr>
        <w:fldChar w:fldCharType="separate"/>
      </w:r>
      <m:oMath>
        <m:sSub>
          <m:sSubPr>
            <m:ctrlPr>
              <w:rPr>
                <w:rFonts w:ascii="Cambria Math" w:hAnsi="Cambria Math" w:cstheme="majorBidi"/>
                <w:i/>
                <w:sz w:val="24"/>
                <w:szCs w:val="24"/>
              </w:rPr>
            </m:ctrlPr>
          </m:sSubPr>
          <m:e>
            <m:r>
              <m:rPr>
                <m:sty m:val="p"/>
              </m:rPr>
              <w:rPr>
                <w:rFonts w:ascii="Cambria Math" w:hAnsi="Cambria Math" w:cstheme="majorBidi"/>
                <w:sz w:val="24"/>
                <w:szCs w:val="24"/>
              </w:rPr>
              <m:t>t</m:t>
            </m:r>
          </m:e>
          <m:sub/>
        </m:sSub>
      </m:oMath>
      <w:r w:rsidRPr="0093413E">
        <w:rPr>
          <w:rFonts w:asciiTheme="majorBidi" w:hAnsiTheme="majorBidi" w:cstheme="majorBidi"/>
          <w:sz w:val="24"/>
          <w:szCs w:val="24"/>
        </w:rPr>
        <w:fldChar w:fldCharType="end"/>
      </w:r>
      <w:r w:rsidRPr="0093413E">
        <w:rPr>
          <w:rFonts w:asciiTheme="majorBidi" w:hAnsiTheme="majorBidi" w:cstheme="majorBidi"/>
          <w:sz w:val="24"/>
          <w:szCs w:val="24"/>
        </w:rPr>
        <w:t xml:space="preserve">; </w:t>
      </w:r>
      <w:r w:rsidRPr="0093413E">
        <w:rPr>
          <w:rFonts w:asciiTheme="majorBidi" w:hAnsiTheme="majorBidi" w:cstheme="majorBidi"/>
          <w:sz w:val="24"/>
          <w:szCs w:val="24"/>
        </w:rPr>
        <w:fldChar w:fldCharType="begin"/>
      </w:r>
      <w:r w:rsidRPr="0093413E">
        <w:rPr>
          <w:rFonts w:asciiTheme="majorBidi" w:hAnsiTheme="majorBidi" w:cstheme="majorBidi"/>
          <w:sz w:val="24"/>
          <w:szCs w:val="24"/>
        </w:rPr>
        <w:instrText xml:space="preserve"> QUOTE </w:instrText>
      </w:r>
      <w:r w:rsidRPr="0093413E">
        <w:rPr>
          <w:rFonts w:asciiTheme="majorBidi" w:hAnsiTheme="majorBidi" w:cstheme="majorBidi"/>
          <w:noProof/>
          <w:sz w:val="24"/>
          <w:szCs w:val="24"/>
        </w:rPr>
        <w:drawing>
          <wp:inline distT="0" distB="0" distL="0" distR="0" wp14:anchorId="7FDF5D23" wp14:editId="370510D6">
            <wp:extent cx="266700" cy="171450"/>
            <wp:effectExtent l="19050" t="0" r="0" b="0"/>
            <wp:docPr id="1464530836" name="Picture 146453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66700" cy="171450"/>
                    </a:xfrm>
                    <a:prstGeom prst="rect">
                      <a:avLst/>
                    </a:prstGeom>
                    <a:noFill/>
                    <a:ln w="9525">
                      <a:noFill/>
                      <a:miter lim="800000"/>
                      <a:headEnd/>
                      <a:tailEnd/>
                    </a:ln>
                  </pic:spPr>
                </pic:pic>
              </a:graphicData>
            </a:graphic>
          </wp:inline>
        </w:drawing>
      </w:r>
      <w:r w:rsidRPr="0093413E">
        <w:rPr>
          <w:rFonts w:asciiTheme="majorBidi" w:hAnsiTheme="majorBidi" w:cstheme="majorBidi"/>
          <w:sz w:val="24"/>
          <w:szCs w:val="24"/>
        </w:rPr>
        <w:instrText xml:space="preserve"> </w:instrText>
      </w:r>
      <w:r w:rsidRPr="0093413E">
        <w:rPr>
          <w:rFonts w:asciiTheme="majorBidi" w:hAnsiTheme="majorBidi" w:cstheme="majorBidi"/>
          <w:sz w:val="24"/>
          <w:szCs w:val="24"/>
        </w:rPr>
        <w:fldChar w:fldCharType="separate"/>
      </w: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mt</m:t>
            </m:r>
          </m:sub>
        </m:sSub>
      </m:oMath>
      <w:r w:rsidRPr="0093413E">
        <w:rPr>
          <w:rFonts w:asciiTheme="majorBidi" w:hAnsiTheme="majorBidi" w:cstheme="majorBidi"/>
          <w:sz w:val="24"/>
          <w:szCs w:val="24"/>
        </w:rPr>
        <w:fldChar w:fldCharType="end"/>
      </w:r>
      <w:r w:rsidRPr="0093413E">
        <w:rPr>
          <w:rFonts w:asciiTheme="majorBidi" w:hAnsiTheme="majorBidi" w:cstheme="majorBidi"/>
          <w:sz w:val="24"/>
          <w:szCs w:val="24"/>
        </w:rPr>
        <w:t xml:space="preserve"> is the return on the market portfolio for day </w:t>
      </w:r>
      <w:r w:rsidRPr="0093413E">
        <w:rPr>
          <w:rFonts w:asciiTheme="majorBidi" w:hAnsiTheme="majorBidi" w:cstheme="majorBidi"/>
          <w:sz w:val="24"/>
          <w:szCs w:val="24"/>
        </w:rPr>
        <w:fldChar w:fldCharType="begin"/>
      </w:r>
      <w:r w:rsidRPr="0093413E">
        <w:rPr>
          <w:rFonts w:asciiTheme="majorBidi" w:hAnsiTheme="majorBidi" w:cstheme="majorBidi"/>
          <w:sz w:val="24"/>
          <w:szCs w:val="24"/>
        </w:rPr>
        <w:instrText xml:space="preserve"> QUOTE </w:instrText>
      </w:r>
      <w:r w:rsidRPr="0093413E">
        <w:rPr>
          <w:rFonts w:asciiTheme="majorBidi" w:hAnsiTheme="majorBidi" w:cstheme="majorBidi"/>
          <w:noProof/>
          <w:sz w:val="24"/>
          <w:szCs w:val="24"/>
        </w:rPr>
        <w:drawing>
          <wp:inline distT="0" distB="0" distL="0" distR="0" wp14:anchorId="5863A4CD" wp14:editId="01B63C1F">
            <wp:extent cx="165100" cy="152400"/>
            <wp:effectExtent l="19050" t="0" r="6350" b="0"/>
            <wp:docPr id="2070353402" name="Picture 207035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65100" cy="152400"/>
                    </a:xfrm>
                    <a:prstGeom prst="rect">
                      <a:avLst/>
                    </a:prstGeom>
                    <a:noFill/>
                    <a:ln w="9525">
                      <a:noFill/>
                      <a:miter lim="800000"/>
                      <a:headEnd/>
                      <a:tailEnd/>
                    </a:ln>
                  </pic:spPr>
                </pic:pic>
              </a:graphicData>
            </a:graphic>
          </wp:inline>
        </w:drawing>
      </w:r>
      <w:r w:rsidRPr="0093413E">
        <w:rPr>
          <w:rFonts w:asciiTheme="majorBidi" w:hAnsiTheme="majorBidi" w:cstheme="majorBidi"/>
          <w:sz w:val="24"/>
          <w:szCs w:val="24"/>
        </w:rPr>
        <w:instrText xml:space="preserve"> </w:instrText>
      </w:r>
      <w:r w:rsidRPr="0093413E">
        <w:rPr>
          <w:rFonts w:asciiTheme="majorBidi" w:hAnsiTheme="majorBidi" w:cstheme="majorBidi"/>
          <w:sz w:val="24"/>
          <w:szCs w:val="24"/>
        </w:rPr>
        <w:fldChar w:fldCharType="separate"/>
      </w:r>
      <m:oMath>
        <m:sSub>
          <m:sSubPr>
            <m:ctrlPr>
              <w:rPr>
                <w:rFonts w:ascii="Cambria Math" w:hAnsi="Cambria Math" w:cstheme="majorBidi"/>
                <w:i/>
                <w:sz w:val="24"/>
                <w:szCs w:val="24"/>
              </w:rPr>
            </m:ctrlPr>
          </m:sSubPr>
          <m:e>
            <m:r>
              <m:rPr>
                <m:sty m:val="p"/>
              </m:rPr>
              <w:rPr>
                <w:rFonts w:ascii="Cambria Math" w:hAnsi="Cambria Math" w:cstheme="majorBidi"/>
                <w:sz w:val="24"/>
                <w:szCs w:val="24"/>
              </w:rPr>
              <m:t>t</m:t>
            </m:r>
          </m:e>
          <m:sub/>
        </m:sSub>
      </m:oMath>
      <w:r w:rsidRPr="0093413E">
        <w:rPr>
          <w:rFonts w:asciiTheme="majorBidi" w:hAnsiTheme="majorBidi" w:cstheme="majorBidi"/>
          <w:sz w:val="24"/>
          <w:szCs w:val="24"/>
        </w:rPr>
        <w:fldChar w:fldCharType="end"/>
      </w:r>
      <w:r w:rsidRPr="0093413E">
        <w:rPr>
          <w:rFonts w:asciiTheme="majorBidi" w:hAnsiTheme="majorBidi" w:cstheme="majorBidi"/>
          <w:sz w:val="24"/>
          <w:szCs w:val="24"/>
        </w:rPr>
        <w:t xml:space="preserve"> and </w:t>
      </w:r>
      <w:r w:rsidRPr="0093413E">
        <w:rPr>
          <w:rFonts w:asciiTheme="majorBidi" w:hAnsiTheme="majorBidi" w:cstheme="majorBidi"/>
          <w:sz w:val="24"/>
          <w:szCs w:val="24"/>
        </w:rPr>
        <w:fldChar w:fldCharType="begin"/>
      </w:r>
      <w:r w:rsidRPr="0093413E">
        <w:rPr>
          <w:rFonts w:asciiTheme="majorBidi" w:hAnsiTheme="majorBidi" w:cstheme="majorBidi"/>
          <w:sz w:val="24"/>
          <w:szCs w:val="24"/>
        </w:rPr>
        <w:instrText xml:space="preserve"> QUOTE </w:instrText>
      </w:r>
      <w:r w:rsidRPr="0093413E">
        <w:rPr>
          <w:rFonts w:asciiTheme="majorBidi" w:hAnsiTheme="majorBidi" w:cstheme="majorBidi"/>
          <w:noProof/>
          <w:sz w:val="24"/>
          <w:szCs w:val="24"/>
        </w:rPr>
        <w:drawing>
          <wp:inline distT="0" distB="0" distL="0" distR="0" wp14:anchorId="472D171A" wp14:editId="27DC0FE0">
            <wp:extent cx="171450" cy="171450"/>
            <wp:effectExtent l="19050" t="0" r="0" b="0"/>
            <wp:docPr id="1592253195" name="Picture 159225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3413E">
        <w:rPr>
          <w:rFonts w:asciiTheme="majorBidi" w:hAnsiTheme="majorBidi" w:cstheme="majorBidi"/>
          <w:sz w:val="24"/>
          <w:szCs w:val="24"/>
        </w:rPr>
        <w:instrText xml:space="preserve"> </w:instrText>
      </w:r>
      <w:r w:rsidRPr="0093413E">
        <w:rPr>
          <w:rFonts w:asciiTheme="majorBidi" w:hAnsiTheme="majorBidi" w:cstheme="majorBidi"/>
          <w:sz w:val="24"/>
          <w:szCs w:val="24"/>
        </w:rPr>
        <w:fldChar w:fldCharType="separate"/>
      </w:r>
      <m:oMath>
        <m:sSub>
          <m:sSubPr>
            <m:ctrlPr>
              <w:rPr>
                <w:rFonts w:ascii="Cambria Math" w:hAnsi="Cambria Math" w:cstheme="majorBidi"/>
                <w:sz w:val="24"/>
                <w:szCs w:val="24"/>
              </w:rPr>
            </m:ctrlPr>
          </m:sSubPr>
          <m:e>
            <m:r>
              <m:rPr>
                <m:sty m:val="p"/>
              </m:rPr>
              <w:rPr>
                <w:rFonts w:ascii="Cambria Math" w:hAnsi="Cambria Math" w:cstheme="majorBidi"/>
                <w:sz w:val="24"/>
                <w:szCs w:val="24"/>
              </w:rPr>
              <m:t>ε</m:t>
            </m:r>
          </m:e>
          <m:sub>
            <m:r>
              <m:rPr>
                <m:sty m:val="p"/>
              </m:rPr>
              <w:rPr>
                <w:rFonts w:ascii="Cambria Math" w:hAnsi="Cambria Math" w:cstheme="majorBidi"/>
                <w:sz w:val="24"/>
                <w:szCs w:val="24"/>
              </w:rPr>
              <m:t>it</m:t>
            </m:r>
          </m:sub>
        </m:sSub>
      </m:oMath>
      <w:r w:rsidRPr="0093413E">
        <w:rPr>
          <w:rFonts w:asciiTheme="majorBidi" w:hAnsiTheme="majorBidi" w:cstheme="majorBidi"/>
          <w:sz w:val="24"/>
          <w:szCs w:val="24"/>
        </w:rPr>
        <w:fldChar w:fldCharType="end"/>
      </w:r>
      <w:r w:rsidRPr="0093413E">
        <w:rPr>
          <w:rFonts w:asciiTheme="majorBidi" w:hAnsiTheme="majorBidi" w:cstheme="majorBidi"/>
          <w:sz w:val="24"/>
          <w:szCs w:val="24"/>
        </w:rPr>
        <w:t xml:space="preserve"> is the prediction error. The abnormal return of the </w:t>
      </w:r>
      <w:proofErr w:type="spellStart"/>
      <w:r w:rsidRPr="0093413E">
        <w:rPr>
          <w:rFonts w:asciiTheme="majorBidi" w:hAnsiTheme="majorBidi" w:cstheme="majorBidi"/>
          <w:i/>
          <w:iCs/>
          <w:sz w:val="24"/>
          <w:szCs w:val="24"/>
        </w:rPr>
        <w:t>i</w:t>
      </w:r>
      <w:r w:rsidRPr="0093413E">
        <w:rPr>
          <w:rFonts w:asciiTheme="majorBidi" w:hAnsiTheme="majorBidi" w:cstheme="majorBidi"/>
          <w:i/>
          <w:iCs/>
          <w:sz w:val="24"/>
          <w:szCs w:val="24"/>
          <w:vertAlign w:val="superscript"/>
        </w:rPr>
        <w:t>th</w:t>
      </w:r>
      <w:proofErr w:type="spellEnd"/>
      <w:r w:rsidRPr="0093413E">
        <w:rPr>
          <w:rFonts w:asciiTheme="majorBidi" w:hAnsiTheme="majorBidi" w:cstheme="majorBidi"/>
          <w:sz w:val="24"/>
          <w:szCs w:val="24"/>
        </w:rPr>
        <w:t xml:space="preserve"> issuer on day </w:t>
      </w:r>
      <w:r w:rsidRPr="0093413E">
        <w:rPr>
          <w:rFonts w:asciiTheme="majorBidi" w:hAnsiTheme="majorBidi" w:cstheme="majorBidi"/>
          <w:sz w:val="24"/>
          <w:szCs w:val="24"/>
        </w:rPr>
        <w:fldChar w:fldCharType="begin"/>
      </w:r>
      <w:r w:rsidRPr="0093413E">
        <w:rPr>
          <w:rFonts w:asciiTheme="majorBidi" w:hAnsiTheme="majorBidi" w:cstheme="majorBidi"/>
          <w:sz w:val="24"/>
          <w:szCs w:val="24"/>
        </w:rPr>
        <w:instrText xml:space="preserve"> QUOTE </w:instrText>
      </w:r>
      <w:r w:rsidRPr="0093413E">
        <w:rPr>
          <w:rFonts w:asciiTheme="majorBidi" w:hAnsiTheme="majorBidi" w:cstheme="majorBidi"/>
          <w:noProof/>
          <w:sz w:val="24"/>
          <w:szCs w:val="24"/>
        </w:rPr>
        <w:drawing>
          <wp:inline distT="0" distB="0" distL="0" distR="0" wp14:anchorId="4059BD2C" wp14:editId="4DBB0EAF">
            <wp:extent cx="165100" cy="152400"/>
            <wp:effectExtent l="19050" t="0" r="6350" b="0"/>
            <wp:docPr id="707680838" name="Picture 70768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65100" cy="152400"/>
                    </a:xfrm>
                    <a:prstGeom prst="rect">
                      <a:avLst/>
                    </a:prstGeom>
                    <a:noFill/>
                    <a:ln w="9525">
                      <a:noFill/>
                      <a:miter lim="800000"/>
                      <a:headEnd/>
                      <a:tailEnd/>
                    </a:ln>
                  </pic:spPr>
                </pic:pic>
              </a:graphicData>
            </a:graphic>
          </wp:inline>
        </w:drawing>
      </w:r>
      <w:r w:rsidRPr="0093413E">
        <w:rPr>
          <w:rFonts w:asciiTheme="majorBidi" w:hAnsiTheme="majorBidi" w:cstheme="majorBidi"/>
          <w:sz w:val="24"/>
          <w:szCs w:val="24"/>
        </w:rPr>
        <w:instrText xml:space="preserve"> </w:instrText>
      </w:r>
      <w:r w:rsidRPr="0093413E">
        <w:rPr>
          <w:rFonts w:asciiTheme="majorBidi" w:hAnsiTheme="majorBidi" w:cstheme="majorBidi"/>
          <w:sz w:val="24"/>
          <w:szCs w:val="24"/>
        </w:rPr>
        <w:fldChar w:fldCharType="separate"/>
      </w:r>
      <m:oMath>
        <m:sSub>
          <m:sSubPr>
            <m:ctrlPr>
              <w:rPr>
                <w:rFonts w:ascii="Cambria Math" w:hAnsi="Cambria Math" w:cstheme="majorBidi"/>
                <w:i/>
                <w:sz w:val="24"/>
                <w:szCs w:val="24"/>
              </w:rPr>
            </m:ctrlPr>
          </m:sSubPr>
          <m:e>
            <m:r>
              <m:rPr>
                <m:sty m:val="p"/>
              </m:rPr>
              <w:rPr>
                <w:rFonts w:ascii="Cambria Math" w:hAnsi="Cambria Math" w:cstheme="majorBidi"/>
                <w:sz w:val="24"/>
                <w:szCs w:val="24"/>
              </w:rPr>
              <m:t>t</m:t>
            </m:r>
          </m:e>
          <m:sub/>
        </m:sSub>
      </m:oMath>
      <w:r w:rsidRPr="0093413E">
        <w:rPr>
          <w:rFonts w:asciiTheme="majorBidi" w:hAnsiTheme="majorBidi" w:cstheme="majorBidi"/>
          <w:sz w:val="24"/>
          <w:szCs w:val="24"/>
        </w:rPr>
        <w:fldChar w:fldCharType="end"/>
      </w:r>
      <w:r w:rsidRPr="0093413E">
        <w:rPr>
          <w:rFonts w:asciiTheme="majorBidi" w:hAnsiTheme="majorBidi" w:cstheme="majorBidi"/>
          <w:sz w:val="24"/>
          <w:szCs w:val="24"/>
        </w:rPr>
        <w:t xml:space="preserve"> define as:</w:t>
      </w:r>
      <w:r w:rsidR="00361E2D" w:rsidRPr="0093413E">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AR</m:t>
            </m:r>
          </m:e>
          <m:sub>
            <m:r>
              <w:rPr>
                <w:rFonts w:ascii="Cambria Math" w:hAnsi="Cambria Math" w:cstheme="majorBidi"/>
                <w:sz w:val="24"/>
                <w:szCs w:val="24"/>
              </w:rPr>
              <m:t>it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it</m:t>
            </m:r>
          </m:sub>
        </m:sSub>
        <m:r>
          <w:rPr>
            <w:rFonts w:ascii="Cambria Math" w:hAnsi="Cambria Math" w:cstheme="majorBidi"/>
            <w:sz w:val="24"/>
            <w:szCs w:val="24"/>
          </w:rPr>
          <m:t>-</m:t>
        </m:r>
        <m:d>
          <m:dPr>
            <m:ctrlPr>
              <w:rPr>
                <w:rFonts w:ascii="Cambria Math" w:hAnsi="Cambria Math" w:cstheme="majorBidi"/>
                <w:i/>
                <w:sz w:val="24"/>
                <w:szCs w:val="24"/>
              </w:rPr>
            </m:ctrlPr>
          </m:dPr>
          <m:e>
            <m:acc>
              <m:accPr>
                <m:ctrlPr>
                  <w:rPr>
                    <w:rFonts w:ascii="Cambria Math" w:hAnsi="Cambria Math" w:cstheme="majorBidi"/>
                    <w:sz w:val="24"/>
                    <w:szCs w:val="24"/>
                  </w:rPr>
                </m:ctrlPr>
              </m:accPr>
              <m:e>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w:rPr>
                        <w:rFonts w:ascii="Cambria Math" w:hAnsi="Cambria Math" w:cstheme="majorBidi"/>
                        <w:sz w:val="24"/>
                        <w:szCs w:val="24"/>
                      </w:rPr>
                      <m:t>i</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 xml:space="preserve">i </m:t>
                    </m:r>
                  </m:sub>
                </m:sSub>
              </m:e>
            </m:acc>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mt</m:t>
                </m:r>
              </m:sub>
            </m:sSub>
          </m:e>
        </m:d>
      </m:oMath>
    </w:p>
    <w:p w14:paraId="656F7D60" w14:textId="00BECD72" w:rsidR="003E6A00" w:rsidRPr="0093413E" w:rsidRDefault="003E6A00" w:rsidP="005853BF">
      <w:pPr>
        <w:adjustRightInd w:val="0"/>
        <w:jc w:val="both"/>
        <w:rPr>
          <w:rFonts w:asciiTheme="majorBidi" w:hAnsiTheme="majorBidi" w:cstheme="majorBidi"/>
          <w:sz w:val="24"/>
          <w:szCs w:val="24"/>
        </w:rPr>
      </w:pPr>
      <w:proofErr w:type="gramStart"/>
      <w:r w:rsidRPr="0093413E">
        <w:rPr>
          <w:rFonts w:asciiTheme="majorBidi" w:hAnsiTheme="majorBidi" w:cstheme="majorBidi"/>
          <w:sz w:val="24"/>
          <w:szCs w:val="24"/>
        </w:rPr>
        <w:t>where,</w:t>
      </w:r>
      <w:proofErr w:type="gramEnd"/>
      <w:r w:rsidRPr="0093413E">
        <w:rPr>
          <w:rFonts w:asciiTheme="majorBidi" w:hAnsiTheme="majorBidi" w:cstheme="majorBidi"/>
          <w:sz w:val="24"/>
          <w:szCs w:val="24"/>
        </w:rPr>
        <w:t xml:space="preserve"> the rate of return of issuer </w:t>
      </w:r>
      <w:r w:rsidRPr="0093413E">
        <w:rPr>
          <w:rFonts w:asciiTheme="majorBidi" w:hAnsiTheme="majorBidi" w:cstheme="majorBidi"/>
          <w:i/>
          <w:iCs/>
          <w:sz w:val="24"/>
          <w:szCs w:val="24"/>
        </w:rPr>
        <w:t>i</w:t>
      </w:r>
      <w:r w:rsidRPr="0093413E">
        <w:rPr>
          <w:rFonts w:asciiTheme="majorBidi" w:hAnsiTheme="majorBidi" w:cstheme="majorBidi"/>
          <w:sz w:val="24"/>
          <w:szCs w:val="24"/>
        </w:rPr>
        <w:t xml:space="preserve"> is regressed against the market portfolio return during the period (-260, -11) prior to the </w:t>
      </w:r>
      <w:r w:rsidR="004F7C7F" w:rsidRPr="0093413E">
        <w:rPr>
          <w:rFonts w:asciiTheme="majorBidi" w:hAnsiTheme="majorBidi" w:cstheme="majorBidi"/>
          <w:sz w:val="24"/>
          <w:szCs w:val="24"/>
        </w:rPr>
        <w:t>Bond issue</w:t>
      </w:r>
      <w:r w:rsidRPr="0093413E">
        <w:rPr>
          <w:rFonts w:asciiTheme="majorBidi" w:hAnsiTheme="majorBidi" w:cstheme="majorBidi"/>
          <w:sz w:val="24"/>
          <w:szCs w:val="24"/>
        </w:rPr>
        <w:t xml:space="preserve"> announcement day to obtain the coefficients </w:t>
      </w:r>
      <m:oMath>
        <m:acc>
          <m:accPr>
            <m:ctrlPr>
              <w:rPr>
                <w:rFonts w:ascii="Cambria Math" w:hAnsi="Cambria Math" w:cstheme="majorBidi"/>
                <w:sz w:val="24"/>
                <w:szCs w:val="24"/>
              </w:rPr>
            </m:ctrlPr>
          </m:accPr>
          <m:e>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I</m:t>
                </m:r>
              </m:sub>
            </m:sSub>
          </m:e>
        </m:acc>
      </m:oMath>
      <w:r w:rsidRPr="0093413E">
        <w:rPr>
          <w:rFonts w:asciiTheme="majorBidi" w:hAnsiTheme="majorBidi" w:cstheme="majorBidi"/>
          <w:sz w:val="24"/>
          <w:szCs w:val="24"/>
        </w:rPr>
        <w:t xml:space="preserve"> and </w:t>
      </w:r>
      <m:oMath>
        <m:acc>
          <m:accPr>
            <m:ctrlPr>
              <w:rPr>
                <w:rFonts w:ascii="Cambria Math" w:hAnsi="Cambria Math" w:cstheme="majorBidi"/>
                <w:sz w:val="24"/>
                <w:szCs w:val="24"/>
              </w:rPr>
            </m:ctrlPr>
          </m:accPr>
          <m:e>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 xml:space="preserve">I </m:t>
                </m:r>
              </m:sub>
            </m:sSub>
          </m:e>
        </m:acc>
      </m:oMath>
      <w:r w:rsidRPr="0093413E">
        <w:rPr>
          <w:rFonts w:asciiTheme="majorBidi" w:hAnsiTheme="majorBidi" w:cstheme="majorBidi"/>
          <w:sz w:val="24"/>
          <w:szCs w:val="24"/>
        </w:rPr>
        <w:t xml:space="preserve"> as ordinary least squares estimate of </w:t>
      </w:r>
      <m:oMath>
        <m:sSub>
          <m:sSubPr>
            <m:ctrlPr>
              <w:rPr>
                <w:rFonts w:ascii="Cambria Math" w:hAnsi="Cambria Math" w:cstheme="majorBidi"/>
                <w:sz w:val="24"/>
                <w:szCs w:val="24"/>
              </w:rPr>
            </m:ctrlPr>
          </m:sSubPr>
          <m:e>
            <m:r>
              <m:rPr>
                <m:sty m:val="p"/>
              </m:rPr>
              <w:rPr>
                <w:rFonts w:ascii="Cambria Math" w:hAnsi="Cambria Math" w:cstheme="majorBidi"/>
                <w:sz w:val="24"/>
                <w:szCs w:val="24"/>
              </w:rPr>
              <m:t>α</m:t>
            </m:r>
          </m:e>
          <m:sub>
            <m:r>
              <m:rPr>
                <m:sty m:val="p"/>
              </m:rPr>
              <w:rPr>
                <w:rFonts w:ascii="Cambria Math" w:hAnsi="Cambria Math" w:cstheme="majorBidi"/>
                <w:sz w:val="24"/>
                <w:szCs w:val="24"/>
              </w:rPr>
              <m:t>I</m:t>
            </m:r>
          </m:sub>
        </m:sSub>
      </m:oMath>
      <w:r w:rsidRPr="0093413E">
        <w:rPr>
          <w:rFonts w:asciiTheme="majorBidi" w:hAnsiTheme="majorBidi" w:cstheme="majorBidi"/>
          <w:sz w:val="24"/>
          <w:szCs w:val="24"/>
        </w:rPr>
        <w:t xml:space="preserve">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 xml:space="preserve">I </m:t>
            </m:r>
          </m:sub>
        </m:sSub>
      </m:oMath>
      <w:r w:rsidRPr="0093413E">
        <w:rPr>
          <w:rFonts w:asciiTheme="majorBidi" w:hAnsiTheme="majorBidi" w:cstheme="majorBidi"/>
          <w:sz w:val="24"/>
          <w:szCs w:val="24"/>
        </w:rPr>
        <w:t>. The</w:t>
      </w:r>
      <w:r w:rsidR="004F7C7F" w:rsidRPr="0093413E">
        <w:rPr>
          <w:rFonts w:asciiTheme="majorBidi" w:hAnsiTheme="majorBidi" w:cstheme="majorBidi"/>
          <w:sz w:val="24"/>
          <w:szCs w:val="24"/>
        </w:rPr>
        <w:t xml:space="preserve"> Bond issue</w:t>
      </w:r>
      <w:r w:rsidRPr="0093413E">
        <w:rPr>
          <w:rFonts w:asciiTheme="majorBidi" w:hAnsiTheme="majorBidi" w:cstheme="majorBidi"/>
          <w:sz w:val="24"/>
          <w:szCs w:val="24"/>
        </w:rPr>
        <w:t xml:space="preserve"> announcement date for each announcing firm is designated as event day zero. </w:t>
      </w:r>
      <w:r w:rsidR="00B34E22" w:rsidRPr="0093413E">
        <w:rPr>
          <w:rFonts w:asciiTheme="majorBidi" w:hAnsiTheme="majorBidi" w:cstheme="majorBidi"/>
          <w:sz w:val="24"/>
          <w:szCs w:val="24"/>
        </w:rPr>
        <w:t xml:space="preserve"> </w:t>
      </w:r>
      <w:r w:rsidRPr="0093413E">
        <w:rPr>
          <w:rFonts w:asciiTheme="majorBidi" w:hAnsiTheme="majorBidi" w:cstheme="majorBidi"/>
          <w:sz w:val="24"/>
          <w:szCs w:val="24"/>
        </w:rPr>
        <w:t xml:space="preserve">Over three trading days, beginning with day </w:t>
      </w:r>
      <w:r w:rsidRPr="0093413E">
        <w:rPr>
          <w:rFonts w:asciiTheme="majorBidi" w:hAnsiTheme="majorBidi" w:cstheme="majorBidi"/>
          <w:sz w:val="24"/>
          <w:szCs w:val="24"/>
        </w:rPr>
        <w:fldChar w:fldCharType="begin"/>
      </w:r>
      <w:r w:rsidRPr="0093413E">
        <w:rPr>
          <w:rFonts w:asciiTheme="majorBidi" w:hAnsiTheme="majorBidi" w:cstheme="majorBidi"/>
          <w:sz w:val="24"/>
          <w:szCs w:val="24"/>
        </w:rPr>
        <w:instrText xml:space="preserve"> QUOTE </w:instrText>
      </w:r>
      <w:r w:rsidRPr="0093413E">
        <w:rPr>
          <w:rFonts w:asciiTheme="majorBidi" w:hAnsiTheme="majorBidi" w:cstheme="majorBidi"/>
          <w:noProof/>
          <w:sz w:val="24"/>
          <w:szCs w:val="24"/>
        </w:rPr>
        <w:drawing>
          <wp:inline distT="0" distB="0" distL="0" distR="0" wp14:anchorId="1C2F3747" wp14:editId="5A686141">
            <wp:extent cx="146050" cy="146050"/>
            <wp:effectExtent l="19050" t="0" r="6350" b="0"/>
            <wp:docPr id="187739757" name="Picture 18773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93413E">
        <w:rPr>
          <w:rFonts w:asciiTheme="majorBidi" w:hAnsiTheme="majorBidi" w:cstheme="majorBidi"/>
          <w:sz w:val="24"/>
          <w:szCs w:val="24"/>
        </w:rPr>
        <w:instrText xml:space="preserve"> </w:instrText>
      </w:r>
      <w:r w:rsidRPr="0093413E">
        <w:rPr>
          <w:rFonts w:asciiTheme="majorBidi" w:hAnsiTheme="majorBidi" w:cstheme="majorBidi"/>
          <w:sz w:val="24"/>
          <w:szCs w:val="24"/>
        </w:rPr>
        <w:fldChar w:fldCharType="separate"/>
      </w:r>
      <m:oMath>
        <m:sSub>
          <m:sSubPr>
            <m:ctrlPr>
              <w:rPr>
                <w:rFonts w:ascii="Cambria Math" w:hAnsi="Cambria Math" w:cstheme="majorBidi"/>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1</m:t>
            </m:r>
          </m:sub>
        </m:sSub>
      </m:oMath>
      <w:r w:rsidRPr="0093413E">
        <w:rPr>
          <w:rFonts w:asciiTheme="majorBidi" w:hAnsiTheme="majorBidi" w:cstheme="majorBidi"/>
          <w:sz w:val="24"/>
          <w:szCs w:val="24"/>
        </w:rPr>
        <w:fldChar w:fldCharType="end"/>
      </w:r>
      <w:r w:rsidRPr="0093413E">
        <w:rPr>
          <w:rFonts w:asciiTheme="majorBidi" w:hAnsiTheme="majorBidi" w:cstheme="majorBidi"/>
          <w:sz w:val="24"/>
          <w:szCs w:val="24"/>
        </w:rPr>
        <w:t xml:space="preserve">=-1, and ending with </w:t>
      </w:r>
      <w:r w:rsidRPr="0093413E">
        <w:rPr>
          <w:rFonts w:asciiTheme="majorBidi" w:hAnsiTheme="majorBidi" w:cstheme="majorBidi"/>
          <w:sz w:val="24"/>
          <w:szCs w:val="24"/>
        </w:rPr>
        <w:fldChar w:fldCharType="begin"/>
      </w:r>
      <w:r w:rsidRPr="0093413E">
        <w:rPr>
          <w:rFonts w:asciiTheme="majorBidi" w:hAnsiTheme="majorBidi" w:cstheme="majorBidi"/>
          <w:sz w:val="24"/>
          <w:szCs w:val="24"/>
        </w:rPr>
        <w:instrText xml:space="preserve"> QUOTE </w:instrText>
      </w:r>
      <w:r w:rsidRPr="0093413E">
        <w:rPr>
          <w:rFonts w:asciiTheme="majorBidi" w:hAnsiTheme="majorBidi" w:cstheme="majorBidi"/>
          <w:noProof/>
          <w:sz w:val="24"/>
          <w:szCs w:val="24"/>
        </w:rPr>
        <w:drawing>
          <wp:inline distT="0" distB="0" distL="0" distR="0" wp14:anchorId="7167D8DF" wp14:editId="37F7D02F">
            <wp:extent cx="146050" cy="146050"/>
            <wp:effectExtent l="19050" t="0" r="6350" b="0"/>
            <wp:docPr id="1775444492" name="Picture 177544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93413E">
        <w:rPr>
          <w:rFonts w:asciiTheme="majorBidi" w:hAnsiTheme="majorBidi" w:cstheme="majorBidi"/>
          <w:sz w:val="24"/>
          <w:szCs w:val="24"/>
        </w:rPr>
        <w:instrText xml:space="preserve"> </w:instrText>
      </w:r>
      <w:r w:rsidRPr="0093413E">
        <w:rPr>
          <w:rFonts w:asciiTheme="majorBidi" w:hAnsiTheme="majorBidi" w:cstheme="majorBidi"/>
          <w:sz w:val="24"/>
          <w:szCs w:val="24"/>
        </w:rPr>
        <w:fldChar w:fldCharType="separate"/>
      </w:r>
      <m:oMath>
        <m:sSub>
          <m:sSubPr>
            <m:ctrlPr>
              <w:rPr>
                <w:rFonts w:ascii="Cambria Math" w:hAnsi="Cambria Math" w:cstheme="majorBidi"/>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2</m:t>
            </m:r>
          </m:sub>
        </m:sSub>
      </m:oMath>
      <w:r w:rsidRPr="0093413E">
        <w:rPr>
          <w:rFonts w:asciiTheme="majorBidi" w:hAnsiTheme="majorBidi" w:cstheme="majorBidi"/>
          <w:sz w:val="24"/>
          <w:szCs w:val="24"/>
        </w:rPr>
        <w:fldChar w:fldCharType="end"/>
      </w:r>
      <w:r w:rsidRPr="0093413E">
        <w:rPr>
          <w:rFonts w:asciiTheme="majorBidi" w:hAnsiTheme="majorBidi" w:cstheme="majorBidi"/>
          <w:sz w:val="24"/>
          <w:szCs w:val="24"/>
        </w:rPr>
        <w:t>=1, the cumulative abnormal return (CAR) for the i</w:t>
      </w:r>
      <w:proofErr w:type="spellStart"/>
      <w:r w:rsidRPr="0093413E">
        <w:rPr>
          <w:rFonts w:asciiTheme="majorBidi" w:hAnsiTheme="majorBidi" w:cstheme="majorBidi"/>
          <w:sz w:val="24"/>
          <w:szCs w:val="24"/>
          <w:vertAlign w:val="superscript"/>
        </w:rPr>
        <w:t>th</w:t>
      </w:r>
      <w:proofErr w:type="spellEnd"/>
      <w:r w:rsidRPr="0093413E">
        <w:rPr>
          <w:rFonts w:asciiTheme="majorBidi" w:hAnsiTheme="majorBidi" w:cstheme="majorBidi"/>
          <w:sz w:val="24"/>
          <w:szCs w:val="24"/>
        </w:rPr>
        <w:t xml:space="preserve"> issuer is:</w:t>
      </w:r>
    </w:p>
    <w:p w14:paraId="0129C231" w14:textId="77777777" w:rsidR="003E6A00" w:rsidRPr="0093413E" w:rsidRDefault="007E3599" w:rsidP="005853BF">
      <w:pPr>
        <w:jc w:val="both"/>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CAR</m:t>
              </m:r>
            </m:e>
            <m:sub>
              <m:r>
                <w:rPr>
                  <w:rFonts w:ascii="Cambria Math" w:hAnsi="Cambria Math" w:cstheme="majorBidi"/>
                  <w:sz w:val="24"/>
                  <w:szCs w:val="24"/>
                </w:rPr>
                <m:t>i</m:t>
              </m:r>
            </m:sub>
          </m:sSub>
          <m:r>
            <m:rPr>
              <m:sty m:val="p"/>
            </m:rPr>
            <w:rPr>
              <w:rFonts w:ascii="Cambria Math" w:hAnsi="Cambria Math" w:cstheme="majorBidi"/>
              <w:sz w:val="24"/>
              <w:szCs w:val="24"/>
            </w:rPr>
            <m:t>=</m:t>
          </m:r>
          <m:nary>
            <m:naryPr>
              <m:chr m:val="∑"/>
              <m:limLoc m:val="undOvr"/>
              <m:ctrlPr>
                <w:rPr>
                  <w:rFonts w:ascii="Cambria Math" w:hAnsi="Cambria Math" w:cstheme="majorBidi"/>
                  <w:sz w:val="24"/>
                  <w:szCs w:val="24"/>
                </w:rPr>
              </m:ctrlPr>
            </m:naryPr>
            <m:sub>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=-1</m:t>
              </m:r>
            </m:sub>
            <m:sup>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2</m:t>
                  </m:r>
                </m:sub>
              </m:sSub>
              <m:r>
                <w:rPr>
                  <w:rFonts w:ascii="Cambria Math" w:hAnsi="Cambria Math" w:cstheme="majorBidi"/>
                  <w:sz w:val="24"/>
                  <w:szCs w:val="24"/>
                </w:rPr>
                <m:t>=1</m:t>
              </m:r>
            </m:sup>
            <m:e>
              <m:sSub>
                <m:sSubPr>
                  <m:ctrlPr>
                    <w:rPr>
                      <w:rFonts w:ascii="Cambria Math" w:hAnsi="Cambria Math" w:cstheme="majorBidi"/>
                      <w:sz w:val="24"/>
                      <w:szCs w:val="24"/>
                    </w:rPr>
                  </m:ctrlPr>
                </m:sSubPr>
                <m:e>
                  <m:r>
                    <w:rPr>
                      <w:rFonts w:ascii="Cambria Math" w:hAnsi="Cambria Math" w:cstheme="majorBidi"/>
                      <w:sz w:val="24"/>
                      <w:szCs w:val="24"/>
                    </w:rPr>
                    <m:t>AR</m:t>
                  </m:r>
                </m:e>
                <m:sub>
                  <m:r>
                    <w:rPr>
                      <w:rFonts w:ascii="Cambria Math" w:hAnsi="Cambria Math" w:cstheme="majorBidi"/>
                      <w:sz w:val="24"/>
                      <w:szCs w:val="24"/>
                    </w:rPr>
                    <m:t>it</m:t>
                  </m:r>
                </m:sub>
              </m:sSub>
            </m:e>
          </m:nary>
        </m:oMath>
      </m:oMathPara>
    </w:p>
    <w:p w14:paraId="62C743FD" w14:textId="150C88AB" w:rsidR="00E05ED6" w:rsidRPr="0093413E" w:rsidRDefault="00672D66" w:rsidP="005853BF">
      <w:pPr>
        <w:pStyle w:val="NormalWeb"/>
        <w:spacing w:before="0" w:beforeAutospacing="0" w:after="0" w:afterAutospacing="0"/>
        <w:ind w:firstLine="432"/>
        <w:jc w:val="both"/>
        <w:rPr>
          <w:rFonts w:asciiTheme="majorBidi" w:hAnsiTheme="majorBidi" w:cstheme="majorBidi"/>
          <w14:ligatures w14:val="standardContextual"/>
        </w:rPr>
      </w:pPr>
      <w:r w:rsidRPr="0093413E">
        <w:rPr>
          <w:rFonts w:asciiTheme="majorBidi" w:hAnsiTheme="majorBidi" w:cstheme="majorBidi"/>
        </w:rPr>
        <w:lastRenderedPageBreak/>
        <w:t>To control for cross-sectional correlation and event-induced variance</w:t>
      </w:r>
      <w:r w:rsidR="00EB2851" w:rsidRPr="0093413E">
        <w:rPr>
          <w:rFonts w:asciiTheme="majorBidi" w:hAnsiTheme="majorBidi" w:cstheme="majorBidi"/>
        </w:rPr>
        <w:t xml:space="preserve">, we use </w:t>
      </w:r>
      <w:hyperlink r:id="rId16" w:anchor="ref-5" w:history="1">
        <w:r w:rsidR="00EB2851" w:rsidRPr="0093413E">
          <w:rPr>
            <w:rFonts w:asciiTheme="majorBidi" w:hAnsiTheme="majorBidi" w:cstheme="majorBidi"/>
          </w:rPr>
          <w:t>Boehmer, Musumeci, and Poulsen (1991</w:t>
        </w:r>
      </w:hyperlink>
      <w:r w:rsidR="00EB2851" w:rsidRPr="0093413E">
        <w:rPr>
          <w:rFonts w:asciiTheme="majorBidi" w:hAnsiTheme="majorBidi" w:cstheme="majorBidi"/>
        </w:rPr>
        <w:t xml:space="preserve">) </w:t>
      </w:r>
      <w:r w:rsidRPr="0093413E">
        <w:rPr>
          <w:rFonts w:asciiTheme="majorBidi" w:hAnsiTheme="majorBidi" w:cstheme="majorBidi"/>
        </w:rPr>
        <w:t xml:space="preserve"> test statistic</w:t>
      </w:r>
      <w:r w:rsidR="009D14E6" w:rsidRPr="0093413E">
        <w:rPr>
          <w:rFonts w:asciiTheme="majorBidi" w:hAnsiTheme="majorBidi" w:cstheme="majorBidi"/>
        </w:rPr>
        <w:t xml:space="preserve"> that use</w:t>
      </w:r>
      <w:r w:rsidR="00EB2851" w:rsidRPr="0093413E">
        <w:rPr>
          <w:rFonts w:asciiTheme="majorBidi" w:hAnsiTheme="majorBidi" w:cstheme="majorBidi"/>
        </w:rPr>
        <w:t xml:space="preserve"> </w:t>
      </w:r>
      <w:r w:rsidR="009D14E6" w:rsidRPr="0093413E">
        <w:rPr>
          <w:rFonts w:asciiTheme="majorBidi" w:hAnsiTheme="majorBidi" w:cstheme="majorBidi"/>
        </w:rPr>
        <w:t>firm-level clustered standard errors</w:t>
      </w:r>
      <w:r w:rsidR="005E1333" w:rsidRPr="0093413E">
        <w:rPr>
          <w:rFonts w:asciiTheme="majorBidi" w:hAnsiTheme="majorBidi" w:cstheme="majorBidi"/>
        </w:rPr>
        <w:t>.</w:t>
      </w:r>
    </w:p>
    <w:p w14:paraId="4C2A1780" w14:textId="2455CBB7" w:rsidR="00791B76" w:rsidRPr="0093413E" w:rsidRDefault="00867F58" w:rsidP="005853BF">
      <w:pPr>
        <w:widowControl/>
        <w:adjustRightInd w:val="0"/>
        <w:ind w:firstLine="432"/>
        <w:jc w:val="both"/>
        <w:rPr>
          <w:rFonts w:asciiTheme="majorBidi" w:hAnsiTheme="majorBidi" w:cstheme="majorBidi"/>
          <w:sz w:val="24"/>
          <w:szCs w:val="24"/>
        </w:rPr>
      </w:pPr>
      <w:r w:rsidRPr="0093413E">
        <w:rPr>
          <w:rFonts w:asciiTheme="majorBidi" w:hAnsiTheme="majorBidi" w:cstheme="majorBidi"/>
          <w:sz w:val="24"/>
          <w:szCs w:val="24"/>
        </w:rPr>
        <w:t xml:space="preserve">Table 2 Panel </w:t>
      </w:r>
      <w:r w:rsidR="00F32050" w:rsidRPr="0093413E">
        <w:rPr>
          <w:rFonts w:asciiTheme="majorBidi" w:hAnsiTheme="majorBidi" w:cstheme="majorBidi"/>
          <w:sz w:val="24"/>
          <w:szCs w:val="24"/>
        </w:rPr>
        <w:t>A</w:t>
      </w:r>
      <w:r w:rsidR="00242496" w:rsidRPr="0093413E">
        <w:rPr>
          <w:rFonts w:asciiTheme="majorBidi" w:hAnsiTheme="majorBidi" w:cstheme="majorBidi"/>
          <w:sz w:val="24"/>
          <w:szCs w:val="24"/>
        </w:rPr>
        <w:t xml:space="preserve"> shows </w:t>
      </w:r>
      <w:r w:rsidR="004E42CD" w:rsidRPr="0093413E">
        <w:rPr>
          <w:rFonts w:asciiTheme="majorBidi" w:hAnsiTheme="majorBidi" w:cstheme="majorBidi"/>
          <w:sz w:val="24"/>
          <w:szCs w:val="24"/>
        </w:rPr>
        <w:t xml:space="preserve">the </w:t>
      </w:r>
      <w:r w:rsidR="00CC2824" w:rsidRPr="0093413E">
        <w:rPr>
          <w:rFonts w:asciiTheme="majorBidi" w:hAnsiTheme="majorBidi" w:cstheme="majorBidi"/>
          <w:sz w:val="24"/>
          <w:szCs w:val="24"/>
        </w:rPr>
        <w:t>descriptive</w:t>
      </w:r>
      <w:r w:rsidR="004E42CD" w:rsidRPr="0093413E">
        <w:rPr>
          <w:rFonts w:asciiTheme="majorBidi" w:hAnsiTheme="majorBidi" w:cstheme="majorBidi"/>
          <w:sz w:val="24"/>
          <w:szCs w:val="24"/>
        </w:rPr>
        <w:t xml:space="preserve"> </w:t>
      </w:r>
      <w:r w:rsidR="00CC2824" w:rsidRPr="0093413E">
        <w:rPr>
          <w:rFonts w:asciiTheme="majorBidi" w:hAnsiTheme="majorBidi" w:cstheme="majorBidi"/>
          <w:sz w:val="24"/>
          <w:szCs w:val="24"/>
        </w:rPr>
        <w:t>statistics</w:t>
      </w:r>
      <w:r w:rsidR="004E42CD" w:rsidRPr="0093413E">
        <w:rPr>
          <w:rFonts w:asciiTheme="majorBidi" w:hAnsiTheme="majorBidi" w:cstheme="majorBidi"/>
          <w:sz w:val="24"/>
          <w:szCs w:val="24"/>
        </w:rPr>
        <w:t xml:space="preserve"> </w:t>
      </w:r>
      <w:r w:rsidR="00420E66" w:rsidRPr="0093413E">
        <w:rPr>
          <w:rFonts w:asciiTheme="majorBidi" w:hAnsiTheme="majorBidi" w:cstheme="majorBidi"/>
          <w:sz w:val="24"/>
          <w:szCs w:val="24"/>
        </w:rPr>
        <w:t xml:space="preserve">of the dependent variables </w:t>
      </w:r>
      <w:r w:rsidR="004E42CD" w:rsidRPr="0093413E">
        <w:rPr>
          <w:rFonts w:asciiTheme="majorBidi" w:hAnsiTheme="majorBidi" w:cstheme="majorBidi"/>
          <w:sz w:val="24"/>
          <w:szCs w:val="24"/>
        </w:rPr>
        <w:t xml:space="preserve">for the full sample of </w:t>
      </w:r>
      <w:r w:rsidR="00AB4A6E" w:rsidRPr="0093413E">
        <w:rPr>
          <w:rFonts w:asciiTheme="majorBidi" w:hAnsiTheme="majorBidi" w:cstheme="majorBidi"/>
          <w:sz w:val="24"/>
          <w:szCs w:val="24"/>
        </w:rPr>
        <w:t>8,453</w:t>
      </w:r>
      <w:r w:rsidR="004E42CD" w:rsidRPr="0093413E">
        <w:rPr>
          <w:rFonts w:asciiTheme="majorBidi" w:hAnsiTheme="majorBidi" w:cstheme="majorBidi"/>
          <w:sz w:val="24"/>
          <w:szCs w:val="24"/>
        </w:rPr>
        <w:t xml:space="preserve"> </w:t>
      </w:r>
      <w:r w:rsidR="00AB4A6E" w:rsidRPr="0093413E">
        <w:rPr>
          <w:rFonts w:asciiTheme="majorBidi" w:hAnsiTheme="majorBidi" w:cstheme="majorBidi"/>
          <w:sz w:val="24"/>
          <w:szCs w:val="24"/>
        </w:rPr>
        <w:t xml:space="preserve">Bond </w:t>
      </w:r>
      <w:r w:rsidR="00322F54" w:rsidRPr="0093413E">
        <w:rPr>
          <w:rFonts w:asciiTheme="majorBidi" w:hAnsiTheme="majorBidi" w:cstheme="majorBidi"/>
          <w:sz w:val="24"/>
          <w:szCs w:val="24"/>
        </w:rPr>
        <w:t>issues</w:t>
      </w:r>
      <w:r w:rsidR="004E42CD" w:rsidRPr="0093413E">
        <w:rPr>
          <w:rFonts w:asciiTheme="majorBidi" w:hAnsiTheme="majorBidi" w:cstheme="majorBidi"/>
          <w:sz w:val="24"/>
          <w:szCs w:val="24"/>
        </w:rPr>
        <w:t xml:space="preserve">, </w:t>
      </w:r>
      <w:r w:rsidR="00322F54" w:rsidRPr="0093413E">
        <w:rPr>
          <w:rFonts w:asciiTheme="majorBidi" w:hAnsiTheme="majorBidi" w:cstheme="majorBidi"/>
          <w:sz w:val="24"/>
          <w:szCs w:val="24"/>
        </w:rPr>
        <w:t>Bonds issued by</w:t>
      </w:r>
      <w:r w:rsidR="00C61CDA" w:rsidRPr="0093413E">
        <w:rPr>
          <w:rFonts w:asciiTheme="majorBidi" w:hAnsiTheme="majorBidi" w:cstheme="majorBidi"/>
          <w:sz w:val="24"/>
          <w:szCs w:val="24"/>
        </w:rPr>
        <w:t xml:space="preserve"> firms </w:t>
      </w:r>
      <w:r w:rsidR="00CC2824" w:rsidRPr="0093413E">
        <w:rPr>
          <w:rFonts w:asciiTheme="majorBidi" w:hAnsiTheme="majorBidi" w:cstheme="majorBidi"/>
          <w:sz w:val="24"/>
          <w:szCs w:val="24"/>
        </w:rPr>
        <w:t>who</w:t>
      </w:r>
      <w:r w:rsidR="00C61CDA" w:rsidRPr="0093413E">
        <w:rPr>
          <w:rFonts w:asciiTheme="majorBidi" w:hAnsiTheme="majorBidi" w:cstheme="majorBidi"/>
          <w:sz w:val="24"/>
          <w:szCs w:val="24"/>
        </w:rPr>
        <w:t xml:space="preserve"> don’t release </w:t>
      </w:r>
      <w:r w:rsidR="004E42CD" w:rsidRPr="0093413E">
        <w:rPr>
          <w:rFonts w:asciiTheme="majorBidi" w:hAnsiTheme="majorBidi" w:cstheme="majorBidi"/>
          <w:sz w:val="24"/>
          <w:szCs w:val="24"/>
        </w:rPr>
        <w:t>E</w:t>
      </w:r>
      <w:r w:rsidR="00307868" w:rsidRPr="0093413E">
        <w:rPr>
          <w:rFonts w:asciiTheme="majorBidi" w:hAnsiTheme="majorBidi" w:cstheme="majorBidi"/>
          <w:sz w:val="24"/>
          <w:szCs w:val="24"/>
        </w:rPr>
        <w:t xml:space="preserve">SG </w:t>
      </w:r>
      <w:r w:rsidR="00DF1C13" w:rsidRPr="0093413E">
        <w:rPr>
          <w:rFonts w:asciiTheme="majorBidi" w:hAnsiTheme="majorBidi" w:cstheme="majorBidi"/>
          <w:sz w:val="24"/>
          <w:szCs w:val="24"/>
        </w:rPr>
        <w:t xml:space="preserve">performance </w:t>
      </w:r>
      <w:r w:rsidR="00C61CDA" w:rsidRPr="0093413E">
        <w:rPr>
          <w:rFonts w:asciiTheme="majorBidi" w:hAnsiTheme="majorBidi" w:cstheme="majorBidi"/>
          <w:sz w:val="24"/>
          <w:szCs w:val="24"/>
        </w:rPr>
        <w:t>data</w:t>
      </w:r>
      <w:r w:rsidR="00307868" w:rsidRPr="0093413E">
        <w:rPr>
          <w:rFonts w:asciiTheme="majorBidi" w:hAnsiTheme="majorBidi" w:cstheme="majorBidi"/>
          <w:sz w:val="24"/>
          <w:szCs w:val="24"/>
        </w:rPr>
        <w:t xml:space="preserve"> </w:t>
      </w:r>
      <w:r w:rsidR="00C61CDA" w:rsidRPr="0093413E">
        <w:rPr>
          <w:rFonts w:asciiTheme="majorBidi" w:hAnsiTheme="majorBidi" w:cstheme="majorBidi"/>
          <w:sz w:val="24"/>
          <w:szCs w:val="24"/>
        </w:rPr>
        <w:t xml:space="preserve"> and </w:t>
      </w:r>
      <w:r w:rsidR="00BB6F0B" w:rsidRPr="0093413E">
        <w:rPr>
          <w:rFonts w:asciiTheme="majorBidi" w:hAnsiTheme="majorBidi" w:cstheme="majorBidi"/>
          <w:sz w:val="24"/>
          <w:szCs w:val="24"/>
        </w:rPr>
        <w:t>Bonds issued by</w:t>
      </w:r>
      <w:r w:rsidR="00CC2824" w:rsidRPr="0093413E">
        <w:rPr>
          <w:rFonts w:asciiTheme="majorBidi" w:hAnsiTheme="majorBidi" w:cstheme="majorBidi"/>
          <w:sz w:val="24"/>
          <w:szCs w:val="24"/>
        </w:rPr>
        <w:t xml:space="preserve"> firms who release ESG performance data</w:t>
      </w:r>
      <w:r w:rsidR="00AB4A6E" w:rsidRPr="0093413E">
        <w:rPr>
          <w:rFonts w:asciiTheme="majorBidi" w:hAnsiTheme="majorBidi" w:cstheme="majorBidi"/>
          <w:sz w:val="24"/>
          <w:szCs w:val="24"/>
        </w:rPr>
        <w:t>, respectively. Bond issues by</w:t>
      </w:r>
      <w:r w:rsidR="00CC2824" w:rsidRPr="0093413E">
        <w:rPr>
          <w:rFonts w:asciiTheme="majorBidi" w:hAnsiTheme="majorBidi" w:cstheme="majorBidi"/>
          <w:sz w:val="24"/>
          <w:szCs w:val="24"/>
        </w:rPr>
        <w:t xml:space="preserve"> </w:t>
      </w:r>
      <w:r w:rsidR="00816483" w:rsidRPr="0093413E">
        <w:rPr>
          <w:rFonts w:asciiTheme="majorBidi" w:hAnsiTheme="majorBidi" w:cstheme="majorBidi"/>
          <w:sz w:val="24"/>
          <w:szCs w:val="24"/>
        </w:rPr>
        <w:t xml:space="preserve">Firms with ESG performance data </w:t>
      </w:r>
      <w:r w:rsidR="00AB4A6E" w:rsidRPr="0093413E">
        <w:rPr>
          <w:rFonts w:asciiTheme="majorBidi" w:hAnsiTheme="majorBidi" w:cstheme="majorBidi"/>
          <w:sz w:val="24"/>
          <w:szCs w:val="24"/>
        </w:rPr>
        <w:t xml:space="preserve">tend </w:t>
      </w:r>
      <w:proofErr w:type="gramStart"/>
      <w:r w:rsidR="00AB4A6E" w:rsidRPr="0093413E">
        <w:rPr>
          <w:rFonts w:asciiTheme="majorBidi" w:hAnsiTheme="majorBidi" w:cstheme="majorBidi"/>
          <w:sz w:val="24"/>
          <w:szCs w:val="24"/>
        </w:rPr>
        <w:t xml:space="preserve">to </w:t>
      </w:r>
      <w:r w:rsidR="00816483" w:rsidRPr="0093413E">
        <w:rPr>
          <w:rFonts w:asciiTheme="majorBidi" w:hAnsiTheme="majorBidi" w:cstheme="majorBidi"/>
          <w:sz w:val="24"/>
          <w:szCs w:val="24"/>
        </w:rPr>
        <w:t xml:space="preserve"> be</w:t>
      </w:r>
      <w:proofErr w:type="gramEnd"/>
      <w:r w:rsidR="00816483" w:rsidRPr="0093413E">
        <w:rPr>
          <w:rFonts w:asciiTheme="majorBidi" w:hAnsiTheme="majorBidi" w:cstheme="majorBidi"/>
          <w:sz w:val="24"/>
          <w:szCs w:val="24"/>
        </w:rPr>
        <w:t xml:space="preserve"> </w:t>
      </w:r>
      <w:r w:rsidR="00AB4A6E" w:rsidRPr="0093413E">
        <w:rPr>
          <w:rFonts w:asciiTheme="majorBidi" w:hAnsiTheme="majorBidi" w:cstheme="majorBidi"/>
          <w:sz w:val="24"/>
          <w:szCs w:val="24"/>
        </w:rPr>
        <w:t>significantly</w:t>
      </w:r>
      <w:r w:rsidR="00816483" w:rsidRPr="0093413E">
        <w:rPr>
          <w:rFonts w:asciiTheme="majorBidi" w:hAnsiTheme="majorBidi" w:cstheme="majorBidi"/>
          <w:sz w:val="24"/>
          <w:szCs w:val="24"/>
        </w:rPr>
        <w:t xml:space="preserve"> </w:t>
      </w:r>
      <w:proofErr w:type="gramStart"/>
      <w:r w:rsidR="005D7A32" w:rsidRPr="0093413E">
        <w:rPr>
          <w:rFonts w:asciiTheme="majorBidi" w:hAnsiTheme="majorBidi" w:cstheme="majorBidi"/>
          <w:sz w:val="24"/>
          <w:szCs w:val="24"/>
        </w:rPr>
        <w:t xml:space="preserve">having </w:t>
      </w:r>
      <w:r w:rsidR="00C65500" w:rsidRPr="0093413E">
        <w:rPr>
          <w:rFonts w:asciiTheme="majorBidi" w:hAnsiTheme="majorBidi" w:cstheme="majorBidi"/>
          <w:sz w:val="24"/>
          <w:szCs w:val="24"/>
        </w:rPr>
        <w:t>lower</w:t>
      </w:r>
      <w:proofErr w:type="gramEnd"/>
      <w:r w:rsidR="00C65500" w:rsidRPr="0093413E">
        <w:rPr>
          <w:rFonts w:asciiTheme="majorBidi" w:hAnsiTheme="majorBidi" w:cstheme="majorBidi"/>
          <w:sz w:val="24"/>
          <w:szCs w:val="24"/>
        </w:rPr>
        <w:t xml:space="preserve"> Yield </w:t>
      </w:r>
      <w:proofErr w:type="gramStart"/>
      <w:r w:rsidR="00C65500" w:rsidRPr="0093413E">
        <w:rPr>
          <w:rFonts w:asciiTheme="majorBidi" w:hAnsiTheme="majorBidi" w:cstheme="majorBidi"/>
          <w:sz w:val="24"/>
          <w:szCs w:val="24"/>
        </w:rPr>
        <w:t>Spread,  higher</w:t>
      </w:r>
      <w:proofErr w:type="gramEnd"/>
      <w:r w:rsidR="00C65500" w:rsidRPr="0093413E">
        <w:rPr>
          <w:rFonts w:asciiTheme="majorBidi" w:hAnsiTheme="majorBidi" w:cstheme="majorBidi"/>
          <w:sz w:val="24"/>
          <w:szCs w:val="24"/>
        </w:rPr>
        <w:t xml:space="preserve"> Moody's Rating and </w:t>
      </w:r>
      <w:r w:rsidR="005D7A32" w:rsidRPr="0093413E">
        <w:rPr>
          <w:rFonts w:asciiTheme="majorBidi" w:hAnsiTheme="majorBidi" w:cstheme="majorBidi"/>
          <w:sz w:val="24"/>
          <w:szCs w:val="24"/>
        </w:rPr>
        <w:t>positive</w:t>
      </w:r>
      <w:r w:rsidR="00C65500" w:rsidRPr="0093413E">
        <w:rPr>
          <w:rFonts w:asciiTheme="majorBidi" w:hAnsiTheme="majorBidi" w:cstheme="majorBidi"/>
          <w:sz w:val="24"/>
          <w:szCs w:val="24"/>
        </w:rPr>
        <w:t xml:space="preserve"> </w:t>
      </w:r>
      <w:r w:rsidR="005D7A32" w:rsidRPr="0093413E">
        <w:rPr>
          <w:rFonts w:asciiTheme="majorBidi" w:hAnsiTheme="majorBidi" w:cstheme="majorBidi"/>
          <w:sz w:val="24"/>
          <w:szCs w:val="24"/>
        </w:rPr>
        <w:t xml:space="preserve">cumulative abnormal return </w:t>
      </w:r>
      <w:proofErr w:type="gramStart"/>
      <w:r w:rsidR="005D7A32" w:rsidRPr="0093413E">
        <w:rPr>
          <w:rFonts w:asciiTheme="majorBidi" w:hAnsiTheme="majorBidi" w:cstheme="majorBidi"/>
          <w:sz w:val="24"/>
          <w:szCs w:val="24"/>
        </w:rPr>
        <w:t>CAR[</w:t>
      </w:r>
      <w:proofErr w:type="gramEnd"/>
      <w:r w:rsidR="005D7A32" w:rsidRPr="0093413E">
        <w:rPr>
          <w:rFonts w:asciiTheme="majorBidi" w:hAnsiTheme="majorBidi" w:cstheme="majorBidi"/>
          <w:sz w:val="24"/>
          <w:szCs w:val="24"/>
        </w:rPr>
        <w:t>-</w:t>
      </w:r>
      <w:proofErr w:type="gramStart"/>
      <w:r w:rsidR="005D7A32" w:rsidRPr="0093413E">
        <w:rPr>
          <w:rFonts w:asciiTheme="majorBidi" w:hAnsiTheme="majorBidi" w:cstheme="majorBidi"/>
          <w:sz w:val="24"/>
          <w:szCs w:val="24"/>
        </w:rPr>
        <w:t>1,+</w:t>
      </w:r>
      <w:proofErr w:type="gramEnd"/>
      <w:r w:rsidR="005D7A32" w:rsidRPr="0093413E">
        <w:rPr>
          <w:rFonts w:asciiTheme="majorBidi" w:hAnsiTheme="majorBidi" w:cstheme="majorBidi"/>
          <w:sz w:val="24"/>
          <w:szCs w:val="24"/>
        </w:rPr>
        <w:t>1</w:t>
      </w:r>
      <w:proofErr w:type="gramStart"/>
      <w:r w:rsidR="005D7A32" w:rsidRPr="0093413E">
        <w:rPr>
          <w:rFonts w:asciiTheme="majorBidi" w:hAnsiTheme="majorBidi" w:cstheme="majorBidi"/>
          <w:sz w:val="24"/>
          <w:szCs w:val="24"/>
        </w:rPr>
        <w:t>] .</w:t>
      </w:r>
      <w:proofErr w:type="gramEnd"/>
      <w:r w:rsidR="005D7A32" w:rsidRPr="0093413E">
        <w:rPr>
          <w:rFonts w:asciiTheme="majorBidi" w:hAnsiTheme="majorBidi" w:cstheme="majorBidi"/>
          <w:sz w:val="24"/>
          <w:szCs w:val="24"/>
        </w:rPr>
        <w:t xml:space="preserve"> Notably, the market reaction  </w:t>
      </w:r>
      <w:r w:rsidR="00791B76" w:rsidRPr="0093413E">
        <w:rPr>
          <w:rFonts w:asciiTheme="majorBidi" w:hAnsiTheme="majorBidi" w:cstheme="majorBidi"/>
          <w:sz w:val="24"/>
          <w:szCs w:val="24"/>
        </w:rPr>
        <w:t xml:space="preserve">to Bonds issued by </w:t>
      </w:r>
      <w:r w:rsidR="001A21BD" w:rsidRPr="0093413E">
        <w:rPr>
          <w:rFonts w:asciiTheme="majorBidi" w:hAnsiTheme="majorBidi" w:cstheme="majorBidi"/>
          <w:sz w:val="24"/>
          <w:szCs w:val="24"/>
        </w:rPr>
        <w:t xml:space="preserve">firms </w:t>
      </w:r>
      <w:r w:rsidR="00791B76" w:rsidRPr="0093413E">
        <w:rPr>
          <w:rFonts w:asciiTheme="majorBidi" w:hAnsiTheme="majorBidi" w:cstheme="majorBidi"/>
          <w:sz w:val="24"/>
          <w:szCs w:val="24"/>
        </w:rPr>
        <w:t>who don’t release ESG performance data  is not different from zero .</w:t>
      </w:r>
      <w:r w:rsidR="001A21BD" w:rsidRPr="0093413E">
        <w:rPr>
          <w:rFonts w:asciiTheme="majorBidi" w:hAnsiTheme="majorBidi" w:cstheme="majorBidi"/>
          <w:sz w:val="24"/>
          <w:szCs w:val="24"/>
        </w:rPr>
        <w:t xml:space="preserve"> </w:t>
      </w:r>
      <w:r w:rsidR="00FF15EB" w:rsidRPr="0093413E">
        <w:rPr>
          <w:rFonts w:asciiTheme="majorBidi" w:hAnsiTheme="majorBidi" w:cstheme="majorBidi"/>
          <w:sz w:val="24"/>
          <w:szCs w:val="24"/>
        </w:rPr>
        <w:t xml:space="preserve">This </w:t>
      </w:r>
      <w:r w:rsidR="00BB6F0B" w:rsidRPr="0093413E">
        <w:rPr>
          <w:rFonts w:asciiTheme="majorBidi" w:hAnsiTheme="majorBidi" w:cstheme="majorBidi"/>
          <w:sz w:val="24"/>
          <w:szCs w:val="24"/>
        </w:rPr>
        <w:t>result</w:t>
      </w:r>
      <w:r w:rsidR="00FF15EB" w:rsidRPr="0093413E">
        <w:rPr>
          <w:rFonts w:asciiTheme="majorBidi" w:hAnsiTheme="majorBidi" w:cstheme="majorBidi"/>
          <w:sz w:val="24"/>
          <w:szCs w:val="24"/>
        </w:rPr>
        <w:t xml:space="preserve"> in line </w:t>
      </w:r>
      <w:r w:rsidR="00C6598F" w:rsidRPr="0093413E">
        <w:rPr>
          <w:rFonts w:asciiTheme="majorBidi" w:hAnsiTheme="majorBidi" w:cstheme="majorBidi"/>
          <w:sz w:val="24"/>
          <w:szCs w:val="24"/>
        </w:rPr>
        <w:t>with</w:t>
      </w:r>
      <w:r w:rsidR="00BB6F0B" w:rsidRPr="0093413E">
        <w:rPr>
          <w:rFonts w:asciiTheme="majorBidi" w:hAnsiTheme="majorBidi" w:cstheme="majorBidi"/>
          <w:sz w:val="24"/>
          <w:szCs w:val="24"/>
        </w:rPr>
        <w:t xml:space="preserve"> previous</w:t>
      </w:r>
      <w:r w:rsidR="00FF15EB" w:rsidRPr="0093413E">
        <w:rPr>
          <w:rFonts w:asciiTheme="majorBidi" w:hAnsiTheme="majorBidi" w:cstheme="majorBidi"/>
          <w:sz w:val="24"/>
          <w:szCs w:val="24"/>
        </w:rPr>
        <w:t xml:space="preserve"> work on market reaction to </w:t>
      </w:r>
      <w:r w:rsidR="006F7D9D" w:rsidRPr="0093413E">
        <w:rPr>
          <w:rFonts w:asciiTheme="majorBidi" w:hAnsiTheme="majorBidi" w:cstheme="majorBidi"/>
          <w:sz w:val="24"/>
          <w:szCs w:val="24"/>
        </w:rPr>
        <w:t xml:space="preserve">straight </w:t>
      </w:r>
      <w:r w:rsidR="00FF15EB" w:rsidRPr="0093413E">
        <w:rPr>
          <w:rFonts w:asciiTheme="majorBidi" w:hAnsiTheme="majorBidi" w:cstheme="majorBidi"/>
          <w:sz w:val="24"/>
          <w:szCs w:val="24"/>
        </w:rPr>
        <w:t>debt issues (</w:t>
      </w:r>
      <w:r w:rsidR="00B155C7" w:rsidRPr="0093413E">
        <w:rPr>
          <w:rFonts w:asciiTheme="majorBidi" w:hAnsiTheme="majorBidi" w:cstheme="majorBidi"/>
          <w:sz w:val="24"/>
          <w:szCs w:val="24"/>
        </w:rPr>
        <w:t>Dann and Mikkelson (1984) ,Mikkelson and Partch (1986) ,</w:t>
      </w:r>
      <w:proofErr w:type="spellStart"/>
      <w:r w:rsidR="00B155C7" w:rsidRPr="0093413E">
        <w:rPr>
          <w:rFonts w:asciiTheme="majorBidi" w:hAnsiTheme="majorBidi" w:cstheme="majorBidi"/>
          <w:sz w:val="24"/>
          <w:szCs w:val="24"/>
        </w:rPr>
        <w:t>Eckbo</w:t>
      </w:r>
      <w:proofErr w:type="spellEnd"/>
      <w:r w:rsidR="00B155C7" w:rsidRPr="0093413E">
        <w:rPr>
          <w:rFonts w:asciiTheme="majorBidi" w:hAnsiTheme="majorBidi" w:cstheme="majorBidi"/>
          <w:sz w:val="24"/>
          <w:szCs w:val="24"/>
        </w:rPr>
        <w:t xml:space="preserve"> (1986),Hansen and Crutchley (1990) ,Shyam-Sunder (1991) ,Chaplinsky and Hansen (1993) ,Johnson (1995) ,Jung, Kim, and Stulz (1996) ,Howton, Howton, and Perfect (1998)</w:t>
      </w:r>
      <w:r w:rsidR="00FF15EB" w:rsidRPr="0093413E">
        <w:rPr>
          <w:rFonts w:asciiTheme="majorBidi" w:hAnsiTheme="majorBidi" w:cstheme="majorBidi"/>
          <w:sz w:val="24"/>
          <w:szCs w:val="24"/>
        </w:rPr>
        <w:t xml:space="preserve">) </w:t>
      </w:r>
      <w:r w:rsidR="00825170" w:rsidRPr="0093413E">
        <w:rPr>
          <w:rFonts w:asciiTheme="majorBidi" w:hAnsiTheme="majorBidi" w:cstheme="majorBidi"/>
          <w:sz w:val="24"/>
          <w:szCs w:val="24"/>
        </w:rPr>
        <w:t xml:space="preserve">that found no market rection to </w:t>
      </w:r>
      <w:r w:rsidR="007E1532" w:rsidRPr="0093413E">
        <w:rPr>
          <w:rFonts w:asciiTheme="majorBidi" w:hAnsiTheme="majorBidi" w:cstheme="majorBidi"/>
          <w:sz w:val="24"/>
          <w:szCs w:val="24"/>
        </w:rPr>
        <w:t xml:space="preserve">straight debt </w:t>
      </w:r>
      <w:r w:rsidR="00825170" w:rsidRPr="0093413E">
        <w:rPr>
          <w:rFonts w:asciiTheme="majorBidi" w:hAnsiTheme="majorBidi" w:cstheme="majorBidi"/>
          <w:sz w:val="24"/>
          <w:szCs w:val="24"/>
        </w:rPr>
        <w:t xml:space="preserve"> issues or at most </w:t>
      </w:r>
      <w:r w:rsidR="00322F54" w:rsidRPr="0093413E">
        <w:rPr>
          <w:rFonts w:asciiTheme="majorBidi" w:hAnsiTheme="majorBidi" w:cstheme="majorBidi"/>
          <w:sz w:val="24"/>
          <w:szCs w:val="24"/>
        </w:rPr>
        <w:t xml:space="preserve">a </w:t>
      </w:r>
      <w:r w:rsidR="00825170" w:rsidRPr="0093413E">
        <w:rPr>
          <w:rFonts w:asciiTheme="majorBidi" w:hAnsiTheme="majorBidi" w:cstheme="majorBidi"/>
          <w:sz w:val="24"/>
          <w:szCs w:val="24"/>
        </w:rPr>
        <w:t xml:space="preserve">very </w:t>
      </w:r>
      <w:r w:rsidR="00322F54" w:rsidRPr="0093413E">
        <w:rPr>
          <w:rFonts w:asciiTheme="majorBidi" w:hAnsiTheme="majorBidi" w:cstheme="majorBidi"/>
          <w:sz w:val="24"/>
          <w:szCs w:val="24"/>
        </w:rPr>
        <w:t>mild negative reaction</w:t>
      </w:r>
      <w:r w:rsidR="00634249" w:rsidRPr="0093413E">
        <w:rPr>
          <w:rFonts w:asciiTheme="majorBidi" w:hAnsiTheme="majorBidi" w:cstheme="majorBidi"/>
          <w:sz w:val="24"/>
          <w:szCs w:val="24"/>
        </w:rPr>
        <w:t xml:space="preserve"> (Dann and Mikkelson (1984) Howton, Howton, and Perfect (1998))</w:t>
      </w:r>
      <w:r w:rsidR="00322F54" w:rsidRPr="0093413E">
        <w:rPr>
          <w:rFonts w:asciiTheme="majorBidi" w:hAnsiTheme="majorBidi" w:cstheme="majorBidi"/>
          <w:sz w:val="24"/>
          <w:szCs w:val="24"/>
        </w:rPr>
        <w:t xml:space="preserve"> in stock price</w:t>
      </w:r>
      <w:r w:rsidR="000A31C8" w:rsidRPr="0093413E">
        <w:rPr>
          <w:rFonts w:asciiTheme="majorBidi" w:hAnsiTheme="majorBidi" w:cstheme="majorBidi"/>
          <w:sz w:val="24"/>
          <w:szCs w:val="24"/>
        </w:rPr>
        <w:t xml:space="preserve">. </w:t>
      </w:r>
      <w:r w:rsidR="000821AE" w:rsidRPr="0093413E">
        <w:rPr>
          <w:rFonts w:asciiTheme="majorBidi" w:hAnsiTheme="majorBidi" w:cstheme="majorBidi"/>
          <w:sz w:val="24"/>
          <w:szCs w:val="24"/>
        </w:rPr>
        <w:t xml:space="preserve"> </w:t>
      </w:r>
      <w:r w:rsidR="001459CA" w:rsidRPr="0093413E">
        <w:rPr>
          <w:rFonts w:asciiTheme="majorBidi" w:hAnsiTheme="majorBidi" w:cstheme="majorBidi"/>
          <w:sz w:val="24"/>
          <w:szCs w:val="24"/>
        </w:rPr>
        <w:t xml:space="preserve"> </w:t>
      </w:r>
    </w:p>
    <w:p w14:paraId="000EAA30" w14:textId="67DECE48" w:rsidR="002479B7" w:rsidRPr="0093413E" w:rsidRDefault="003F09BA" w:rsidP="005853BF">
      <w:pPr>
        <w:pStyle w:val="Heading3"/>
        <w:numPr>
          <w:ilvl w:val="0"/>
          <w:numId w:val="0"/>
        </w:numPr>
        <w:ind w:left="90"/>
        <w:rPr>
          <w:rFonts w:asciiTheme="majorBidi" w:hAnsiTheme="majorBidi"/>
          <w:color w:val="auto"/>
          <w:sz w:val="24"/>
          <w:szCs w:val="24"/>
        </w:rPr>
      </w:pPr>
      <w:r w:rsidRPr="0093413E">
        <w:rPr>
          <w:rFonts w:asciiTheme="majorBidi" w:hAnsiTheme="majorBidi"/>
          <w:color w:val="auto"/>
          <w:sz w:val="24"/>
          <w:szCs w:val="24"/>
        </w:rPr>
        <w:t xml:space="preserve">3.2.1 </w:t>
      </w:r>
      <w:r w:rsidR="005E1333" w:rsidRPr="0093413E">
        <w:rPr>
          <w:rFonts w:asciiTheme="majorBidi" w:hAnsiTheme="majorBidi"/>
          <w:color w:val="auto"/>
          <w:sz w:val="24"/>
          <w:szCs w:val="24"/>
        </w:rPr>
        <w:t>Control variables</w:t>
      </w:r>
    </w:p>
    <w:p w14:paraId="2A19DFCA" w14:textId="77777777" w:rsidR="005E1333" w:rsidRPr="0093413E" w:rsidRDefault="005E1333" w:rsidP="005853BF">
      <w:pPr>
        <w:widowControl/>
        <w:autoSpaceDE/>
        <w:autoSpaceDN/>
        <w:rPr>
          <w:rFonts w:asciiTheme="majorBidi" w:hAnsiTheme="majorBidi" w:cstheme="majorBidi"/>
          <w:b/>
          <w:bCs/>
          <w:sz w:val="24"/>
          <w:szCs w:val="24"/>
          <w14:ligatures w14:val="none"/>
        </w:rPr>
      </w:pPr>
      <w:r w:rsidRPr="0093413E">
        <w:rPr>
          <w:rFonts w:asciiTheme="majorBidi" w:hAnsiTheme="majorBidi" w:cstheme="majorBidi"/>
          <w:b/>
          <w:bCs/>
          <w:sz w:val="24"/>
          <w:szCs w:val="24"/>
          <w14:ligatures w14:val="none"/>
        </w:rPr>
        <w:t>Issuer Characteristics Control variables</w:t>
      </w:r>
    </w:p>
    <w:p w14:paraId="03E004E1" w14:textId="6FA7A008" w:rsidR="00EA60AC" w:rsidRPr="0093413E" w:rsidRDefault="008F0CD9" w:rsidP="005853BF">
      <w:pPr>
        <w:widowControl/>
        <w:adjustRightInd w:val="0"/>
        <w:ind w:firstLine="432"/>
        <w:jc w:val="both"/>
        <w:rPr>
          <w:rFonts w:asciiTheme="majorBidi" w:hAnsiTheme="majorBidi" w:cstheme="majorBidi"/>
          <w:sz w:val="24"/>
          <w:szCs w:val="24"/>
        </w:rPr>
      </w:pPr>
      <w:r w:rsidRPr="0093413E">
        <w:rPr>
          <w:rFonts w:asciiTheme="majorBidi" w:hAnsiTheme="majorBidi" w:cstheme="majorBidi"/>
          <w:sz w:val="24"/>
          <w:szCs w:val="24"/>
        </w:rPr>
        <w:t xml:space="preserve">we use several firm level characteristics as explanatory variables. </w:t>
      </w:r>
      <w:r w:rsidR="00876CFC" w:rsidRPr="0093413E">
        <w:rPr>
          <w:rFonts w:asciiTheme="majorBidi" w:hAnsiTheme="majorBidi" w:cstheme="majorBidi"/>
          <w:sz w:val="24"/>
          <w:szCs w:val="24"/>
        </w:rPr>
        <w:t xml:space="preserve">The inclusion of these </w:t>
      </w:r>
      <w:r w:rsidR="007147CE" w:rsidRPr="0093413E">
        <w:rPr>
          <w:rFonts w:asciiTheme="majorBidi" w:hAnsiTheme="majorBidi" w:cstheme="majorBidi"/>
          <w:sz w:val="24"/>
          <w:szCs w:val="24"/>
        </w:rPr>
        <w:t>variables</w:t>
      </w:r>
      <w:r w:rsidR="00876CFC" w:rsidRPr="0093413E">
        <w:rPr>
          <w:rFonts w:asciiTheme="majorBidi" w:hAnsiTheme="majorBidi" w:cstheme="majorBidi"/>
          <w:sz w:val="24"/>
          <w:szCs w:val="24"/>
        </w:rPr>
        <w:t xml:space="preserve"> motivated by previous empirical work and </w:t>
      </w:r>
      <w:r w:rsidR="00F71BE1" w:rsidRPr="0093413E">
        <w:rPr>
          <w:rFonts w:asciiTheme="majorBidi" w:hAnsiTheme="majorBidi" w:cstheme="majorBidi"/>
          <w:sz w:val="24"/>
          <w:szCs w:val="24"/>
        </w:rPr>
        <w:t xml:space="preserve">based on the existing literature </w:t>
      </w:r>
      <w:r w:rsidR="00876CFC" w:rsidRPr="0093413E">
        <w:rPr>
          <w:rFonts w:asciiTheme="majorBidi" w:hAnsiTheme="majorBidi" w:cstheme="majorBidi"/>
          <w:sz w:val="24"/>
          <w:szCs w:val="24"/>
        </w:rPr>
        <w:t xml:space="preserve"> </w:t>
      </w:r>
      <w:r w:rsidR="007147CE" w:rsidRPr="0093413E">
        <w:rPr>
          <w:rFonts w:asciiTheme="majorBidi" w:hAnsiTheme="majorBidi" w:cstheme="majorBidi"/>
          <w:sz w:val="24"/>
          <w:szCs w:val="24"/>
        </w:rPr>
        <w:t xml:space="preserve">on the </w:t>
      </w:r>
      <w:r w:rsidR="006932D4" w:rsidRPr="0093413E">
        <w:rPr>
          <w:rFonts w:asciiTheme="majorBidi" w:hAnsiTheme="majorBidi" w:cstheme="majorBidi"/>
          <w:sz w:val="24"/>
          <w:szCs w:val="24"/>
        </w:rPr>
        <w:t>cost</w:t>
      </w:r>
      <w:r w:rsidR="007147CE" w:rsidRPr="0093413E">
        <w:rPr>
          <w:rFonts w:asciiTheme="majorBidi" w:hAnsiTheme="majorBidi" w:cstheme="majorBidi"/>
          <w:sz w:val="24"/>
          <w:szCs w:val="24"/>
        </w:rPr>
        <w:t xml:space="preserve"> of Debt. </w:t>
      </w:r>
      <w:r w:rsidR="006932D4" w:rsidRPr="0093413E">
        <w:rPr>
          <w:rFonts w:asciiTheme="majorBidi" w:hAnsiTheme="majorBidi" w:cstheme="majorBidi"/>
          <w:sz w:val="24"/>
          <w:szCs w:val="24"/>
        </w:rPr>
        <w:t xml:space="preserve"> </w:t>
      </w:r>
      <w:r w:rsidR="00B447F7" w:rsidRPr="0093413E">
        <w:rPr>
          <w:rFonts w:asciiTheme="majorBidi" w:hAnsiTheme="majorBidi" w:cstheme="majorBidi"/>
          <w:sz w:val="24"/>
          <w:szCs w:val="24"/>
        </w:rPr>
        <w:t xml:space="preserve">Issuer </w:t>
      </w:r>
      <w:proofErr w:type="gramStart"/>
      <w:r w:rsidR="00B447F7" w:rsidRPr="0093413E">
        <w:rPr>
          <w:rFonts w:asciiTheme="majorBidi" w:hAnsiTheme="majorBidi" w:cstheme="majorBidi"/>
          <w:sz w:val="24"/>
          <w:szCs w:val="24"/>
        </w:rPr>
        <w:t xml:space="preserve">Size </w:t>
      </w:r>
      <w:r w:rsidR="004772BE">
        <w:rPr>
          <w:rFonts w:asciiTheme="majorBidi" w:hAnsiTheme="majorBidi" w:cstheme="majorBidi"/>
          <w:sz w:val="24"/>
          <w:szCs w:val="24"/>
        </w:rPr>
        <w:t>(</w:t>
      </w:r>
      <w:r w:rsidR="004772BE">
        <w:t>(</w:t>
      </w:r>
      <w:proofErr w:type="gramEnd"/>
      <w:r w:rsidR="004772BE">
        <w:t xml:space="preserve">Goss &amp; Roberts, 2011; Attig et al., 2013; Oikonomou, Brooks, &amp; </w:t>
      </w:r>
      <w:proofErr w:type="spellStart"/>
      <w:r w:rsidR="004772BE">
        <w:t>Pavelin</w:t>
      </w:r>
      <w:proofErr w:type="spellEnd"/>
      <w:r w:rsidR="004772BE">
        <w:t>, 2014</w:t>
      </w:r>
      <w:proofErr w:type="gramStart"/>
      <w:r w:rsidR="004772BE">
        <w:t>) )</w:t>
      </w:r>
      <w:proofErr w:type="gramEnd"/>
      <w:r w:rsidR="00DE5169">
        <w:t xml:space="preserve"> </w:t>
      </w:r>
      <w:r w:rsidR="00904523" w:rsidRPr="0093413E">
        <w:rPr>
          <w:rFonts w:asciiTheme="majorBidi" w:hAnsiTheme="majorBidi" w:cstheme="majorBidi"/>
          <w:sz w:val="24"/>
          <w:szCs w:val="24"/>
        </w:rPr>
        <w:t xml:space="preserve">measured as </w:t>
      </w:r>
      <w:proofErr w:type="gramStart"/>
      <w:r w:rsidR="00904523" w:rsidRPr="0093413E">
        <w:rPr>
          <w:rFonts w:asciiTheme="majorBidi" w:hAnsiTheme="majorBidi" w:cstheme="majorBidi"/>
          <w:sz w:val="24"/>
          <w:szCs w:val="24"/>
        </w:rPr>
        <w:t>The</w:t>
      </w:r>
      <w:proofErr w:type="gramEnd"/>
      <w:r w:rsidR="00904523" w:rsidRPr="0093413E">
        <w:rPr>
          <w:rFonts w:asciiTheme="majorBidi" w:hAnsiTheme="majorBidi" w:cstheme="majorBidi"/>
          <w:sz w:val="24"/>
          <w:szCs w:val="24"/>
        </w:rPr>
        <w:t xml:space="preserve"> logarithm of the firm’s total </w:t>
      </w:r>
      <w:r w:rsidR="00373611" w:rsidRPr="0093413E">
        <w:rPr>
          <w:rFonts w:asciiTheme="majorBidi" w:hAnsiTheme="majorBidi" w:cstheme="majorBidi"/>
          <w:sz w:val="24"/>
          <w:szCs w:val="24"/>
        </w:rPr>
        <w:t>assets</w:t>
      </w:r>
      <w:r w:rsidR="00904523" w:rsidRPr="0093413E">
        <w:rPr>
          <w:rFonts w:asciiTheme="majorBidi" w:hAnsiTheme="majorBidi" w:cstheme="majorBidi"/>
          <w:sz w:val="24"/>
          <w:szCs w:val="24"/>
        </w:rPr>
        <w:t xml:space="preserve"> is used as a proxy for firm size. </w:t>
      </w:r>
      <w:r w:rsidR="00C34390" w:rsidRPr="0093413E">
        <w:rPr>
          <w:rFonts w:asciiTheme="majorBidi" w:hAnsiTheme="majorBidi" w:cstheme="majorBidi"/>
          <w:sz w:val="24"/>
          <w:szCs w:val="24"/>
        </w:rPr>
        <w:t xml:space="preserve">Larger firms tend to </w:t>
      </w:r>
      <w:r w:rsidR="009078D3" w:rsidRPr="0093413E">
        <w:rPr>
          <w:rFonts w:asciiTheme="majorBidi" w:hAnsiTheme="majorBidi" w:cstheme="majorBidi"/>
          <w:sz w:val="24"/>
          <w:szCs w:val="24"/>
        </w:rPr>
        <w:t xml:space="preserve">have </w:t>
      </w:r>
      <w:r w:rsidR="00373611" w:rsidRPr="0093413E">
        <w:rPr>
          <w:rFonts w:asciiTheme="majorBidi" w:hAnsiTheme="majorBidi" w:cstheme="majorBidi"/>
          <w:sz w:val="24"/>
          <w:szCs w:val="24"/>
        </w:rPr>
        <w:t>a lower</w:t>
      </w:r>
      <w:r w:rsidR="009078D3" w:rsidRPr="0093413E">
        <w:rPr>
          <w:rFonts w:asciiTheme="majorBidi" w:hAnsiTheme="majorBidi" w:cstheme="majorBidi"/>
          <w:sz w:val="24"/>
          <w:szCs w:val="24"/>
        </w:rPr>
        <w:t xml:space="preserve"> risk profile, </w:t>
      </w:r>
      <w:r w:rsidR="003B336E" w:rsidRPr="0093413E">
        <w:rPr>
          <w:rFonts w:asciiTheme="majorBidi" w:hAnsiTheme="majorBidi" w:cstheme="majorBidi"/>
          <w:sz w:val="24"/>
          <w:szCs w:val="24"/>
        </w:rPr>
        <w:t>lower levels of information asymmetry</w:t>
      </w:r>
      <w:r w:rsidR="00373611" w:rsidRPr="0093413E">
        <w:rPr>
          <w:rFonts w:asciiTheme="majorBidi" w:hAnsiTheme="majorBidi" w:cstheme="majorBidi"/>
          <w:sz w:val="24"/>
          <w:szCs w:val="24"/>
        </w:rPr>
        <w:t xml:space="preserve"> and higher reputation effects</w:t>
      </w:r>
      <w:r w:rsidR="00466EE6" w:rsidRPr="0093413E">
        <w:rPr>
          <w:rFonts w:asciiTheme="majorBidi" w:hAnsiTheme="majorBidi" w:cstheme="majorBidi"/>
          <w:sz w:val="24"/>
          <w:szCs w:val="24"/>
        </w:rPr>
        <w:t xml:space="preserve">. </w:t>
      </w:r>
      <w:r w:rsidR="003B507C" w:rsidRPr="0093413E">
        <w:rPr>
          <w:rFonts w:asciiTheme="majorBidi" w:hAnsiTheme="majorBidi" w:cstheme="majorBidi"/>
          <w:sz w:val="24"/>
          <w:szCs w:val="24"/>
        </w:rPr>
        <w:t xml:space="preserve">We </w:t>
      </w:r>
      <w:r w:rsidR="00D86420" w:rsidRPr="0093413E">
        <w:rPr>
          <w:rFonts w:asciiTheme="majorBidi" w:hAnsiTheme="majorBidi" w:cstheme="majorBidi"/>
          <w:sz w:val="24"/>
          <w:szCs w:val="24"/>
        </w:rPr>
        <w:t>expect</w:t>
      </w:r>
      <w:r w:rsidR="003B507C" w:rsidRPr="0093413E">
        <w:rPr>
          <w:rFonts w:asciiTheme="majorBidi" w:hAnsiTheme="majorBidi" w:cstheme="majorBidi"/>
          <w:sz w:val="24"/>
          <w:szCs w:val="24"/>
        </w:rPr>
        <w:t xml:space="preserve"> that the firm </w:t>
      </w:r>
      <w:r w:rsidR="00D86420" w:rsidRPr="0093413E">
        <w:rPr>
          <w:rFonts w:asciiTheme="majorBidi" w:hAnsiTheme="majorBidi" w:cstheme="majorBidi"/>
          <w:sz w:val="24"/>
          <w:szCs w:val="24"/>
        </w:rPr>
        <w:t>size to be</w:t>
      </w:r>
      <w:r w:rsidR="00C97327" w:rsidRPr="0093413E">
        <w:rPr>
          <w:rFonts w:asciiTheme="majorBidi" w:hAnsiTheme="majorBidi" w:cstheme="majorBidi"/>
          <w:sz w:val="24"/>
          <w:szCs w:val="24"/>
        </w:rPr>
        <w:t xml:space="preserve"> </w:t>
      </w:r>
      <w:r w:rsidR="003B507C" w:rsidRPr="0093413E">
        <w:rPr>
          <w:rFonts w:asciiTheme="majorBidi" w:hAnsiTheme="majorBidi" w:cstheme="majorBidi"/>
          <w:sz w:val="24"/>
          <w:szCs w:val="24"/>
        </w:rPr>
        <w:t xml:space="preserve"> </w:t>
      </w:r>
      <w:r w:rsidR="00D86420" w:rsidRPr="0093413E">
        <w:rPr>
          <w:rFonts w:asciiTheme="majorBidi" w:hAnsiTheme="majorBidi" w:cstheme="majorBidi"/>
          <w:sz w:val="24"/>
          <w:szCs w:val="24"/>
        </w:rPr>
        <w:t>negatively</w:t>
      </w:r>
      <w:r w:rsidR="003B507C" w:rsidRPr="0093413E">
        <w:rPr>
          <w:rFonts w:asciiTheme="majorBidi" w:hAnsiTheme="majorBidi" w:cstheme="majorBidi"/>
          <w:sz w:val="24"/>
          <w:szCs w:val="24"/>
        </w:rPr>
        <w:t xml:space="preserve"> related to </w:t>
      </w:r>
      <w:r w:rsidR="00E57E73" w:rsidRPr="0093413E">
        <w:rPr>
          <w:rFonts w:asciiTheme="majorBidi" w:hAnsiTheme="majorBidi" w:cstheme="majorBidi"/>
          <w:sz w:val="24"/>
          <w:szCs w:val="24"/>
        </w:rPr>
        <w:t xml:space="preserve">yield spread and yield to </w:t>
      </w:r>
      <w:r w:rsidR="00ED5165" w:rsidRPr="0093413E">
        <w:rPr>
          <w:rFonts w:asciiTheme="majorBidi" w:hAnsiTheme="majorBidi" w:cstheme="majorBidi"/>
          <w:sz w:val="24"/>
          <w:szCs w:val="24"/>
        </w:rPr>
        <w:t xml:space="preserve">yield to maturity </w:t>
      </w:r>
      <w:r w:rsidR="006851D5" w:rsidRPr="0093413E">
        <w:rPr>
          <w:rFonts w:asciiTheme="majorBidi" w:hAnsiTheme="majorBidi" w:cstheme="majorBidi"/>
          <w:sz w:val="24"/>
          <w:szCs w:val="24"/>
        </w:rPr>
        <w:t xml:space="preserve">and </w:t>
      </w:r>
      <w:r w:rsidR="0079502F" w:rsidRPr="0093413E">
        <w:rPr>
          <w:rFonts w:asciiTheme="majorBidi" w:hAnsiTheme="majorBidi" w:cstheme="majorBidi"/>
          <w:sz w:val="24"/>
          <w:szCs w:val="24"/>
        </w:rPr>
        <w:t>positively</w:t>
      </w:r>
      <w:r w:rsidR="006851D5" w:rsidRPr="0093413E">
        <w:rPr>
          <w:rFonts w:asciiTheme="majorBidi" w:hAnsiTheme="majorBidi" w:cstheme="majorBidi"/>
          <w:sz w:val="24"/>
          <w:szCs w:val="24"/>
        </w:rPr>
        <w:t xml:space="preserve"> related to Bond ratings and </w:t>
      </w:r>
      <w:r w:rsidR="00D86420" w:rsidRPr="0093413E">
        <w:rPr>
          <w:rFonts w:asciiTheme="majorBidi" w:hAnsiTheme="majorBidi" w:cstheme="majorBidi"/>
          <w:sz w:val="24"/>
          <w:szCs w:val="24"/>
        </w:rPr>
        <w:t xml:space="preserve">cumulative abnormal </w:t>
      </w:r>
      <w:r w:rsidR="00CB5075" w:rsidRPr="0093413E">
        <w:rPr>
          <w:rFonts w:asciiTheme="majorBidi" w:hAnsiTheme="majorBidi" w:cstheme="majorBidi"/>
          <w:sz w:val="24"/>
          <w:szCs w:val="24"/>
        </w:rPr>
        <w:t>returns.</w:t>
      </w:r>
    </w:p>
    <w:p w14:paraId="4E270540" w14:textId="4336DDCF" w:rsidR="008B1FEB" w:rsidRPr="0093413E" w:rsidRDefault="006932D4" w:rsidP="005853BF">
      <w:pPr>
        <w:pStyle w:val="NormalWeb"/>
        <w:spacing w:before="0" w:beforeAutospacing="0" w:after="0" w:afterAutospacing="0"/>
        <w:ind w:firstLine="432"/>
        <w:jc w:val="both"/>
        <w:rPr>
          <w:rFonts w:asciiTheme="majorBidi" w:hAnsiTheme="majorBidi" w:cstheme="majorBidi"/>
        </w:rPr>
      </w:pPr>
      <w:r w:rsidRPr="0093413E">
        <w:rPr>
          <w:rFonts w:asciiTheme="majorBidi" w:hAnsiTheme="majorBidi" w:cstheme="majorBidi"/>
        </w:rPr>
        <w:t xml:space="preserve"> </w:t>
      </w:r>
      <w:r w:rsidR="00D153DA" w:rsidRPr="0093413E">
        <w:rPr>
          <w:rFonts w:asciiTheme="majorBidi" w:hAnsiTheme="majorBidi" w:cstheme="majorBidi"/>
        </w:rPr>
        <w:t xml:space="preserve">To control for </w:t>
      </w:r>
      <w:r w:rsidR="005A78F2" w:rsidRPr="0093413E">
        <w:rPr>
          <w:rFonts w:asciiTheme="majorBidi" w:hAnsiTheme="majorBidi" w:cstheme="majorBidi"/>
        </w:rPr>
        <w:t xml:space="preserve">firm’s </w:t>
      </w:r>
      <w:r w:rsidR="008C4D8D" w:rsidRPr="0093413E">
        <w:rPr>
          <w:rFonts w:asciiTheme="majorBidi" w:hAnsiTheme="majorBidi" w:cstheme="majorBidi"/>
        </w:rPr>
        <w:t>risk,</w:t>
      </w:r>
      <w:r w:rsidR="005A78F2" w:rsidRPr="0093413E">
        <w:rPr>
          <w:rFonts w:asciiTheme="majorBidi" w:hAnsiTheme="majorBidi" w:cstheme="majorBidi"/>
        </w:rPr>
        <w:t xml:space="preserve"> we use two traditional risk measures, Leverage and </w:t>
      </w:r>
      <w:r w:rsidR="00960689" w:rsidRPr="0093413E">
        <w:rPr>
          <w:rFonts w:asciiTheme="majorBidi" w:hAnsiTheme="majorBidi" w:cstheme="majorBidi"/>
        </w:rPr>
        <w:t xml:space="preserve">Altman </w:t>
      </w:r>
      <w:r w:rsidR="008B1FEB" w:rsidRPr="0093413E">
        <w:rPr>
          <w:rFonts w:asciiTheme="majorBidi" w:hAnsiTheme="majorBidi" w:cstheme="majorBidi"/>
        </w:rPr>
        <w:t xml:space="preserve">score. </w:t>
      </w:r>
      <w:proofErr w:type="gramStart"/>
      <w:r w:rsidR="00953426" w:rsidRPr="0093413E">
        <w:rPr>
          <w:rFonts w:asciiTheme="majorBidi" w:hAnsiTheme="majorBidi" w:cstheme="majorBidi"/>
        </w:rPr>
        <w:t>Leverage</w:t>
      </w:r>
      <w:r w:rsidR="00DE5169">
        <w:rPr>
          <w:rFonts w:asciiTheme="majorBidi" w:hAnsiTheme="majorBidi" w:cstheme="majorBidi"/>
        </w:rPr>
        <w:t>(</w:t>
      </w:r>
      <w:proofErr w:type="gramEnd"/>
      <w:r w:rsidR="00DE5169">
        <w:t xml:space="preserve">(Goss &amp; Roberts, 2011; Ferrell, Liang, &amp; </w:t>
      </w:r>
      <w:proofErr w:type="spellStart"/>
      <w:r w:rsidR="00DE5169">
        <w:t>Renneboog</w:t>
      </w:r>
      <w:proofErr w:type="spellEnd"/>
      <w:r w:rsidR="00DE5169">
        <w:t>, 2016)</w:t>
      </w:r>
      <w:r w:rsidR="00DE5169">
        <w:rPr>
          <w:rFonts w:asciiTheme="majorBidi" w:hAnsiTheme="majorBidi" w:cstheme="majorBidi"/>
        </w:rPr>
        <w:t>)</w:t>
      </w:r>
      <w:r w:rsidR="00953426" w:rsidRPr="0093413E">
        <w:rPr>
          <w:rFonts w:asciiTheme="majorBidi" w:hAnsiTheme="majorBidi" w:cstheme="majorBidi"/>
        </w:rPr>
        <w:t xml:space="preserve"> is measured as book value of debt divided by book value of assets</w:t>
      </w:r>
      <w:r w:rsidR="0085149D" w:rsidRPr="0093413E">
        <w:rPr>
          <w:rFonts w:asciiTheme="majorBidi" w:hAnsiTheme="majorBidi" w:cstheme="majorBidi"/>
        </w:rPr>
        <w:t xml:space="preserve">, </w:t>
      </w:r>
      <w:r w:rsidR="00721BD4" w:rsidRPr="0093413E">
        <w:rPr>
          <w:rFonts w:asciiTheme="majorBidi" w:hAnsiTheme="majorBidi" w:cstheme="majorBidi"/>
          <w14:ligatures w14:val="standardContextual"/>
        </w:rPr>
        <w:t>according to the</w:t>
      </w:r>
      <w:r w:rsidR="00721BD4" w:rsidRPr="0093413E">
        <w:rPr>
          <w:rFonts w:asciiTheme="majorBidi" w:hAnsiTheme="majorBidi" w:cstheme="majorBidi"/>
        </w:rPr>
        <w:t xml:space="preserve"> trade-off theory, overleveraged firms may tend to issue equity. </w:t>
      </w:r>
      <w:r w:rsidR="00857FB4" w:rsidRPr="0093413E">
        <w:rPr>
          <w:rFonts w:asciiTheme="majorBidi" w:hAnsiTheme="majorBidi" w:cstheme="majorBidi"/>
        </w:rPr>
        <w:t>Firms</w:t>
      </w:r>
      <w:r w:rsidR="004037A6" w:rsidRPr="0093413E">
        <w:rPr>
          <w:rFonts w:asciiTheme="majorBidi" w:hAnsiTheme="majorBidi" w:cstheme="majorBidi"/>
        </w:rPr>
        <w:t xml:space="preserve"> with higher </w:t>
      </w:r>
      <w:r w:rsidR="006A29F6" w:rsidRPr="0093413E">
        <w:rPr>
          <w:rFonts w:asciiTheme="majorBidi" w:hAnsiTheme="majorBidi" w:cstheme="majorBidi"/>
        </w:rPr>
        <w:t>Leverage</w:t>
      </w:r>
      <w:r w:rsidR="00857FB4" w:rsidRPr="0093413E">
        <w:rPr>
          <w:rFonts w:asciiTheme="majorBidi" w:hAnsiTheme="majorBidi" w:cstheme="majorBidi"/>
        </w:rPr>
        <w:t xml:space="preserve"> </w:t>
      </w:r>
      <w:r w:rsidR="006A29F6" w:rsidRPr="0093413E">
        <w:rPr>
          <w:rFonts w:asciiTheme="majorBidi" w:hAnsiTheme="majorBidi" w:cstheme="majorBidi"/>
        </w:rPr>
        <w:t>perceived</w:t>
      </w:r>
      <w:r w:rsidR="00857FB4" w:rsidRPr="0093413E">
        <w:rPr>
          <w:rFonts w:asciiTheme="majorBidi" w:hAnsiTheme="majorBidi" w:cstheme="majorBidi"/>
        </w:rPr>
        <w:t xml:space="preserve"> as risker </w:t>
      </w:r>
      <w:r w:rsidR="006A29F6" w:rsidRPr="0093413E">
        <w:rPr>
          <w:rFonts w:asciiTheme="majorBidi" w:hAnsiTheme="majorBidi" w:cstheme="majorBidi"/>
        </w:rPr>
        <w:t>firms</w:t>
      </w:r>
      <w:r w:rsidR="00857FB4" w:rsidRPr="0093413E">
        <w:rPr>
          <w:rFonts w:asciiTheme="majorBidi" w:hAnsiTheme="majorBidi" w:cstheme="majorBidi"/>
        </w:rPr>
        <w:t>,</w:t>
      </w:r>
      <w:r w:rsidR="008B1FEB" w:rsidRPr="0093413E">
        <w:rPr>
          <w:rFonts w:asciiTheme="majorBidi" w:hAnsiTheme="majorBidi" w:cstheme="majorBidi"/>
        </w:rPr>
        <w:t xml:space="preserve"> Thus</w:t>
      </w:r>
      <w:r w:rsidR="008B1FEB" w:rsidRPr="0093413E">
        <w:rPr>
          <w:rFonts w:asciiTheme="majorBidi" w:hAnsiTheme="majorBidi" w:cstheme="majorBidi"/>
          <w14:ligatures w14:val="standardContextual"/>
        </w:rPr>
        <w:t xml:space="preserve">, we </w:t>
      </w:r>
      <w:r w:rsidR="008B05A0" w:rsidRPr="0093413E">
        <w:rPr>
          <w:rFonts w:asciiTheme="majorBidi" w:hAnsiTheme="majorBidi" w:cstheme="majorBidi"/>
          <w14:ligatures w14:val="standardContextual"/>
        </w:rPr>
        <w:t>expect</w:t>
      </w:r>
      <w:r w:rsidR="008B1FEB" w:rsidRPr="0093413E">
        <w:rPr>
          <w:rFonts w:asciiTheme="majorBidi" w:hAnsiTheme="majorBidi" w:cstheme="majorBidi"/>
          <w14:ligatures w14:val="standardContextual"/>
        </w:rPr>
        <w:t xml:space="preserve"> that </w:t>
      </w:r>
      <w:r w:rsidR="008B1FEB" w:rsidRPr="0093413E">
        <w:rPr>
          <w:rFonts w:asciiTheme="majorBidi" w:hAnsiTheme="majorBidi" w:cstheme="majorBidi"/>
        </w:rPr>
        <w:t xml:space="preserve">Leverage will be positively related to </w:t>
      </w:r>
      <w:r w:rsidR="008B1FEB" w:rsidRPr="0093413E">
        <w:rPr>
          <w:rFonts w:asciiTheme="majorBidi" w:hAnsiTheme="majorBidi" w:cstheme="majorBidi"/>
          <w14:ligatures w14:val="standardContextual"/>
        </w:rPr>
        <w:t>yield spread</w:t>
      </w:r>
      <w:r w:rsidR="008B1FEB" w:rsidRPr="0093413E">
        <w:rPr>
          <w:rFonts w:asciiTheme="majorBidi" w:hAnsiTheme="majorBidi" w:cstheme="majorBidi"/>
        </w:rPr>
        <w:t xml:space="preserve"> and </w:t>
      </w:r>
      <w:r w:rsidR="008B1FEB" w:rsidRPr="0093413E">
        <w:rPr>
          <w:rFonts w:asciiTheme="majorBidi" w:hAnsiTheme="majorBidi" w:cstheme="majorBidi"/>
          <w14:ligatures w14:val="standardContextual"/>
        </w:rPr>
        <w:t>yield</w:t>
      </w:r>
      <w:r w:rsidR="008B1FEB" w:rsidRPr="0093413E">
        <w:rPr>
          <w:rFonts w:asciiTheme="majorBidi" w:hAnsiTheme="majorBidi" w:cstheme="majorBidi"/>
        </w:rPr>
        <w:t xml:space="preserve"> to </w:t>
      </w:r>
      <w:r w:rsidR="008B1FEB" w:rsidRPr="0093413E">
        <w:rPr>
          <w:rFonts w:asciiTheme="majorBidi" w:hAnsiTheme="majorBidi" w:cstheme="majorBidi"/>
          <w14:ligatures w14:val="standardContextual"/>
        </w:rPr>
        <w:t>yield to maturity</w:t>
      </w:r>
      <w:r w:rsidR="008B1FEB" w:rsidRPr="0093413E">
        <w:rPr>
          <w:rFonts w:asciiTheme="majorBidi" w:hAnsiTheme="majorBidi" w:cstheme="majorBidi"/>
        </w:rPr>
        <w:t xml:space="preserve"> and</w:t>
      </w:r>
      <w:r w:rsidR="008B05A0" w:rsidRPr="0093413E">
        <w:rPr>
          <w:rFonts w:asciiTheme="majorBidi" w:hAnsiTheme="majorBidi" w:cstheme="majorBidi"/>
        </w:rPr>
        <w:t xml:space="preserve"> negatively</w:t>
      </w:r>
      <w:r w:rsidR="008B1FEB" w:rsidRPr="0093413E">
        <w:rPr>
          <w:rFonts w:asciiTheme="majorBidi" w:hAnsiTheme="majorBidi" w:cstheme="majorBidi"/>
        </w:rPr>
        <w:t xml:space="preserve"> related to Bond ratings and cumulative abnormal returns.</w:t>
      </w:r>
      <w:r w:rsidR="00D0747D" w:rsidRPr="0093413E">
        <w:rPr>
          <w:rFonts w:asciiTheme="majorBidi" w:hAnsiTheme="majorBidi" w:cstheme="majorBidi"/>
        </w:rPr>
        <w:t xml:space="preserve"> Altman </w:t>
      </w:r>
      <w:r w:rsidR="00DB18C8" w:rsidRPr="0093413E">
        <w:rPr>
          <w:rFonts w:asciiTheme="majorBidi" w:hAnsiTheme="majorBidi" w:cstheme="majorBidi"/>
        </w:rPr>
        <w:t>Z-</w:t>
      </w:r>
      <w:r w:rsidR="00D0747D" w:rsidRPr="0093413E">
        <w:rPr>
          <w:rFonts w:asciiTheme="majorBidi" w:hAnsiTheme="majorBidi" w:cstheme="majorBidi"/>
        </w:rPr>
        <w:t>score</w:t>
      </w:r>
      <w:r w:rsidR="00CC465A" w:rsidRPr="0093413E">
        <w:rPr>
          <w:rFonts w:asciiTheme="majorBidi" w:hAnsiTheme="majorBidi" w:cstheme="majorBidi"/>
        </w:rPr>
        <w:t xml:space="preserve"> </w:t>
      </w:r>
      <w:r w:rsidR="005D3722" w:rsidRPr="0093413E">
        <w:rPr>
          <w:rFonts w:asciiTheme="majorBidi" w:hAnsiTheme="majorBidi" w:cstheme="majorBidi"/>
        </w:rPr>
        <w:t>(Altman (1968</w:t>
      </w:r>
      <w:r w:rsidR="00E86B6A">
        <w:rPr>
          <w:rFonts w:asciiTheme="majorBidi" w:hAnsiTheme="majorBidi" w:cstheme="majorBidi"/>
        </w:rPr>
        <w:t xml:space="preserve">, </w:t>
      </w:r>
      <w:r w:rsidR="00E86B6A">
        <w:t>Ge &amp; Liu, 2015; Chava, 2014</w:t>
      </w:r>
      <w:r w:rsidR="005D3722" w:rsidRPr="0093413E">
        <w:rPr>
          <w:rFonts w:asciiTheme="majorBidi" w:hAnsiTheme="majorBidi" w:cstheme="majorBidi"/>
        </w:rPr>
        <w:t xml:space="preserve">) is </w:t>
      </w:r>
      <w:r w:rsidR="00CC465A" w:rsidRPr="0093413E">
        <w:rPr>
          <w:rFonts w:asciiTheme="majorBidi" w:hAnsiTheme="majorBidi" w:cstheme="majorBidi"/>
        </w:rPr>
        <w:t>measured as</w:t>
      </w:r>
      <w:r w:rsidR="00507865" w:rsidRPr="0093413E">
        <w:rPr>
          <w:rFonts w:asciiTheme="majorBidi" w:hAnsiTheme="majorBidi" w:cstheme="majorBidi"/>
        </w:rPr>
        <w:t>:</w:t>
      </w:r>
    </w:p>
    <w:p w14:paraId="56DD50E0" w14:textId="0B4FC701" w:rsidR="00E1720D" w:rsidRPr="0093413E" w:rsidRDefault="00E1720D" w:rsidP="005853BF">
      <w:pPr>
        <w:widowControl/>
        <w:adjustRightInd w:val="0"/>
        <w:jc w:val="both"/>
        <w:rPr>
          <w:rFonts w:asciiTheme="majorBidi" w:hAnsiTheme="majorBidi" w:cstheme="majorBidi"/>
          <w:sz w:val="24"/>
          <w:szCs w:val="24"/>
        </w:rPr>
      </w:pPr>
      <m:oMath>
        <m:r>
          <w:rPr>
            <w:rFonts w:ascii="Cambria Math" w:hAnsi="Cambria Math" w:cstheme="majorBidi"/>
            <w:sz w:val="24"/>
            <w:szCs w:val="24"/>
          </w:rPr>
          <m:t>Altman Z-Score=1.2</m:t>
        </m:r>
        <m:f>
          <m:fPr>
            <m:ctrlPr>
              <w:rPr>
                <w:rFonts w:ascii="Cambria Math" w:hAnsi="Cambria Math" w:cstheme="majorBidi"/>
                <w:i/>
                <w:sz w:val="24"/>
                <w:szCs w:val="24"/>
              </w:rPr>
            </m:ctrlPr>
          </m:fPr>
          <m:num>
            <m:r>
              <w:rPr>
                <w:rFonts w:ascii="Cambria Math" w:hAnsi="Cambria Math" w:cstheme="majorBidi"/>
                <w:sz w:val="24"/>
                <w:szCs w:val="24"/>
              </w:rPr>
              <m:t>Working Capital</m:t>
            </m:r>
          </m:num>
          <m:den>
            <m:r>
              <w:rPr>
                <w:rFonts w:ascii="Cambria Math" w:hAnsi="Cambria Math" w:cstheme="majorBidi"/>
                <w:sz w:val="24"/>
                <w:szCs w:val="24"/>
              </w:rPr>
              <m:t>Total Assets</m:t>
            </m:r>
          </m:den>
        </m:f>
        <m:r>
          <w:rPr>
            <w:rFonts w:ascii="Cambria Math" w:hAnsi="Cambria Math" w:cstheme="majorBidi"/>
            <w:sz w:val="24"/>
            <w:szCs w:val="24"/>
          </w:rPr>
          <m:t>+1.4</m:t>
        </m:r>
        <m:f>
          <m:fPr>
            <m:ctrlPr>
              <w:rPr>
                <w:rFonts w:ascii="Cambria Math" w:hAnsi="Cambria Math" w:cstheme="majorBidi"/>
                <w:i/>
                <w:sz w:val="24"/>
                <w:szCs w:val="24"/>
              </w:rPr>
            </m:ctrlPr>
          </m:fPr>
          <m:num>
            <m:r>
              <w:rPr>
                <w:rFonts w:ascii="Cambria Math" w:hAnsi="Cambria Math" w:cstheme="majorBidi"/>
                <w:sz w:val="24"/>
                <w:szCs w:val="24"/>
              </w:rPr>
              <m:t>Retained Earnings</m:t>
            </m:r>
          </m:num>
          <m:den>
            <m:r>
              <w:rPr>
                <w:rFonts w:ascii="Cambria Math" w:hAnsi="Cambria Math" w:cstheme="majorBidi"/>
                <w:sz w:val="24"/>
                <w:szCs w:val="24"/>
              </w:rPr>
              <m:t>Total Assets</m:t>
            </m:r>
          </m:den>
        </m:f>
        <m:r>
          <w:rPr>
            <w:rFonts w:ascii="Cambria Math" w:hAnsi="Cambria Math" w:cstheme="majorBidi"/>
            <w:sz w:val="24"/>
            <w:szCs w:val="24"/>
          </w:rPr>
          <m:t>+3.3</m:t>
        </m:r>
        <m:f>
          <m:fPr>
            <m:ctrlPr>
              <w:rPr>
                <w:rFonts w:ascii="Cambria Math" w:hAnsi="Cambria Math" w:cstheme="majorBidi"/>
                <w:i/>
                <w:sz w:val="24"/>
                <w:szCs w:val="24"/>
              </w:rPr>
            </m:ctrlPr>
          </m:fPr>
          <m:num>
            <m:r>
              <w:rPr>
                <w:rFonts w:ascii="Cambria Math" w:hAnsi="Cambria Math" w:cstheme="majorBidi"/>
                <w:sz w:val="24"/>
                <w:szCs w:val="24"/>
              </w:rPr>
              <m:t>Earnings Before Interest and Taxes</m:t>
            </m:r>
          </m:num>
          <m:den>
            <m:r>
              <w:rPr>
                <w:rFonts w:ascii="Cambria Math" w:hAnsi="Cambria Math" w:cstheme="majorBidi"/>
                <w:sz w:val="24"/>
                <w:szCs w:val="24"/>
              </w:rPr>
              <m:t>Total Assets</m:t>
            </m:r>
          </m:den>
        </m:f>
        <m:r>
          <w:rPr>
            <w:rFonts w:ascii="Cambria Math" w:hAnsi="Cambria Math" w:cstheme="majorBidi"/>
            <w:sz w:val="24"/>
            <w:szCs w:val="24"/>
          </w:rPr>
          <m:t>+0.6</m:t>
        </m:r>
        <m:f>
          <m:fPr>
            <m:ctrlPr>
              <w:rPr>
                <w:rFonts w:ascii="Cambria Math" w:hAnsi="Cambria Math" w:cstheme="majorBidi"/>
                <w:i/>
                <w:sz w:val="24"/>
                <w:szCs w:val="24"/>
              </w:rPr>
            </m:ctrlPr>
          </m:fPr>
          <m:num>
            <m:r>
              <w:rPr>
                <w:rFonts w:ascii="Cambria Math" w:hAnsi="Cambria Math" w:cstheme="majorBidi"/>
                <w:sz w:val="24"/>
                <w:szCs w:val="24"/>
              </w:rPr>
              <m:t>Market Value of Equity</m:t>
            </m:r>
          </m:num>
          <m:den>
            <m:r>
              <w:rPr>
                <w:rFonts w:ascii="Cambria Math" w:hAnsi="Cambria Math" w:cstheme="majorBidi"/>
                <w:sz w:val="24"/>
                <w:szCs w:val="24"/>
              </w:rPr>
              <m:t>Total Liabilities</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Sales</m:t>
            </m:r>
          </m:num>
          <m:den>
            <m:r>
              <w:rPr>
                <w:rFonts w:ascii="Cambria Math" w:hAnsi="Cambria Math" w:cstheme="majorBidi"/>
                <w:sz w:val="24"/>
                <w:szCs w:val="24"/>
              </w:rPr>
              <m:t>Total Assets</m:t>
            </m:r>
          </m:den>
        </m:f>
      </m:oMath>
      <w:r w:rsidR="00EA313E">
        <w:rPr>
          <w:rFonts w:asciiTheme="majorBidi" w:hAnsiTheme="majorBidi" w:cstheme="majorBidi"/>
          <w:sz w:val="24"/>
          <w:szCs w:val="24"/>
        </w:rPr>
        <w:t xml:space="preserve"> </w:t>
      </w:r>
    </w:p>
    <w:p w14:paraId="39092A48" w14:textId="146E32E2" w:rsidR="00657972" w:rsidRPr="0093413E" w:rsidRDefault="00C237EB" w:rsidP="005853BF">
      <w:pPr>
        <w:widowControl/>
        <w:adjustRightInd w:val="0"/>
        <w:jc w:val="both"/>
        <w:rPr>
          <w:rFonts w:asciiTheme="majorBidi" w:hAnsiTheme="majorBidi" w:cstheme="majorBidi"/>
          <w:sz w:val="24"/>
          <w:szCs w:val="24"/>
        </w:rPr>
      </w:pPr>
      <w:r w:rsidRPr="0093413E">
        <w:rPr>
          <w:rFonts w:asciiTheme="majorBidi" w:hAnsiTheme="majorBidi" w:cstheme="majorBidi"/>
          <w:sz w:val="24"/>
          <w:szCs w:val="24"/>
        </w:rPr>
        <w:t xml:space="preserve">Altman </w:t>
      </w:r>
      <w:r w:rsidR="00DB18C8" w:rsidRPr="0093413E">
        <w:rPr>
          <w:rFonts w:asciiTheme="majorBidi" w:hAnsiTheme="majorBidi" w:cstheme="majorBidi"/>
          <w:sz w:val="24"/>
          <w:szCs w:val="24"/>
        </w:rPr>
        <w:t>Z-</w:t>
      </w:r>
      <w:r w:rsidRPr="0093413E">
        <w:rPr>
          <w:rFonts w:asciiTheme="majorBidi" w:hAnsiTheme="majorBidi" w:cstheme="majorBidi"/>
          <w:sz w:val="24"/>
          <w:szCs w:val="24"/>
        </w:rPr>
        <w:t xml:space="preserve">score </w:t>
      </w:r>
      <w:r w:rsidR="00BF3A1F" w:rsidRPr="0093413E">
        <w:rPr>
          <w:rFonts w:asciiTheme="majorBidi" w:hAnsiTheme="majorBidi" w:cstheme="majorBidi"/>
          <w:sz w:val="24"/>
          <w:szCs w:val="24"/>
        </w:rPr>
        <w:t xml:space="preserve">is a method of predicting the </w:t>
      </w:r>
      <w:r w:rsidR="008C4D8D" w:rsidRPr="0093413E">
        <w:rPr>
          <w:rFonts w:asciiTheme="majorBidi" w:hAnsiTheme="majorBidi" w:cstheme="majorBidi"/>
          <w:sz w:val="24"/>
          <w:szCs w:val="24"/>
        </w:rPr>
        <w:t xml:space="preserve">firm’s </w:t>
      </w:r>
      <w:r w:rsidR="00BF3A1F" w:rsidRPr="0093413E">
        <w:rPr>
          <w:rFonts w:asciiTheme="majorBidi" w:hAnsiTheme="majorBidi" w:cstheme="majorBidi"/>
          <w:sz w:val="24"/>
          <w:szCs w:val="24"/>
        </w:rPr>
        <w:t>state of financial distress</w:t>
      </w:r>
      <w:r w:rsidR="009414B2" w:rsidRPr="0093413E">
        <w:rPr>
          <w:rFonts w:asciiTheme="majorBidi" w:hAnsiTheme="majorBidi" w:cstheme="majorBidi"/>
          <w:sz w:val="24"/>
          <w:szCs w:val="24"/>
        </w:rPr>
        <w:t xml:space="preserve"> .</w:t>
      </w:r>
      <w:r w:rsidR="00B548C0" w:rsidRPr="0093413E">
        <w:rPr>
          <w:rFonts w:asciiTheme="majorBidi" w:hAnsiTheme="majorBidi" w:cstheme="majorBidi"/>
          <w:sz w:val="24"/>
          <w:szCs w:val="24"/>
        </w:rPr>
        <w:t xml:space="preserve"> </w:t>
      </w:r>
      <w:r w:rsidR="004F7F02" w:rsidRPr="0093413E">
        <w:rPr>
          <w:rFonts w:asciiTheme="majorBidi" w:hAnsiTheme="majorBidi" w:cstheme="majorBidi"/>
          <w:sz w:val="24"/>
          <w:szCs w:val="24"/>
        </w:rPr>
        <w:t xml:space="preserve">A score </w:t>
      </w:r>
      <w:r w:rsidR="007909E4" w:rsidRPr="0093413E">
        <w:rPr>
          <w:rFonts w:asciiTheme="majorBidi" w:hAnsiTheme="majorBidi" w:cstheme="majorBidi"/>
          <w:sz w:val="24"/>
          <w:szCs w:val="24"/>
        </w:rPr>
        <w:t xml:space="preserve">range between zero and 1.8 </w:t>
      </w:r>
      <w:r w:rsidR="00657972" w:rsidRPr="0093413E">
        <w:rPr>
          <w:rFonts w:asciiTheme="majorBidi" w:hAnsiTheme="majorBidi" w:cstheme="majorBidi"/>
          <w:sz w:val="24"/>
          <w:szCs w:val="24"/>
        </w:rPr>
        <w:t>consider</w:t>
      </w:r>
      <w:r w:rsidR="007909E4" w:rsidRPr="0093413E">
        <w:rPr>
          <w:rFonts w:asciiTheme="majorBidi" w:hAnsiTheme="majorBidi" w:cstheme="majorBidi"/>
          <w:sz w:val="24"/>
          <w:szCs w:val="24"/>
        </w:rPr>
        <w:t xml:space="preserve"> a distress zone, </w:t>
      </w:r>
      <w:r w:rsidR="00657972" w:rsidRPr="0093413E">
        <w:rPr>
          <w:rFonts w:asciiTheme="majorBidi" w:hAnsiTheme="majorBidi" w:cstheme="majorBidi"/>
          <w:sz w:val="24"/>
          <w:szCs w:val="24"/>
        </w:rPr>
        <w:t xml:space="preserve">1.8-3.0 </w:t>
      </w:r>
      <w:r w:rsidR="00AB67ED" w:rsidRPr="0093413E">
        <w:rPr>
          <w:rFonts w:asciiTheme="majorBidi" w:hAnsiTheme="majorBidi" w:cstheme="majorBidi"/>
          <w:sz w:val="24"/>
          <w:szCs w:val="24"/>
        </w:rPr>
        <w:t>range</w:t>
      </w:r>
      <w:r w:rsidR="00657972" w:rsidRPr="0093413E">
        <w:rPr>
          <w:rFonts w:asciiTheme="majorBidi" w:hAnsiTheme="majorBidi" w:cstheme="majorBidi"/>
          <w:sz w:val="24"/>
          <w:szCs w:val="24"/>
        </w:rPr>
        <w:t xml:space="preserve"> treated as a gray zone and a range of 3.0 </w:t>
      </w:r>
      <w:r w:rsidR="001F682D" w:rsidRPr="0093413E">
        <w:rPr>
          <w:rFonts w:asciiTheme="majorBidi" w:hAnsiTheme="majorBidi" w:cstheme="majorBidi"/>
          <w:sz w:val="24"/>
          <w:szCs w:val="24"/>
        </w:rPr>
        <w:t>–</w:t>
      </w:r>
      <w:r w:rsidR="00657972" w:rsidRPr="0093413E">
        <w:rPr>
          <w:rFonts w:asciiTheme="majorBidi" w:hAnsiTheme="majorBidi" w:cstheme="majorBidi"/>
          <w:sz w:val="24"/>
          <w:szCs w:val="24"/>
        </w:rPr>
        <w:t xml:space="preserve"> 4.0 consider safe zone.</w:t>
      </w:r>
      <w:r w:rsidR="008E4C64" w:rsidRPr="0093413E">
        <w:rPr>
          <w:rFonts w:asciiTheme="majorBidi" w:hAnsiTheme="majorBidi" w:cstheme="majorBidi"/>
          <w:sz w:val="24"/>
          <w:szCs w:val="24"/>
        </w:rPr>
        <w:t xml:space="preserve"> </w:t>
      </w:r>
      <w:r w:rsidR="00C72333">
        <w:rPr>
          <w:rFonts w:asciiTheme="majorBidi" w:hAnsiTheme="majorBidi" w:cstheme="majorBidi"/>
          <w:sz w:val="24"/>
          <w:szCs w:val="24"/>
        </w:rPr>
        <w:t>W</w:t>
      </w:r>
      <w:r w:rsidR="00E140A6" w:rsidRPr="0093413E">
        <w:rPr>
          <w:rFonts w:asciiTheme="majorBidi" w:hAnsiTheme="majorBidi" w:cstheme="majorBidi"/>
          <w:sz w:val="24"/>
          <w:szCs w:val="24"/>
        </w:rPr>
        <w:t>e expect that Altman Z-score will be negatively related to yield spread and yield to yield to maturity and positively related to Bond ratings and cumulative abnormal returns.</w:t>
      </w:r>
    </w:p>
    <w:p w14:paraId="6CE630AA" w14:textId="019AD8AD" w:rsidR="00176D61" w:rsidRPr="0093413E" w:rsidRDefault="008471D7" w:rsidP="005853BF">
      <w:pPr>
        <w:widowControl/>
        <w:adjustRightInd w:val="0"/>
        <w:ind w:firstLine="432"/>
        <w:jc w:val="both"/>
        <w:rPr>
          <w:rFonts w:asciiTheme="majorBidi" w:hAnsiTheme="majorBidi" w:cstheme="majorBidi"/>
          <w:sz w:val="24"/>
          <w:szCs w:val="24"/>
        </w:rPr>
      </w:pPr>
      <w:r w:rsidRPr="0093413E">
        <w:rPr>
          <w:rFonts w:asciiTheme="majorBidi" w:eastAsiaTheme="minorHAnsi" w:hAnsiTheme="majorBidi" w:cstheme="majorBidi"/>
          <w:sz w:val="24"/>
          <w:szCs w:val="24"/>
        </w:rPr>
        <w:t xml:space="preserve">To control for firm’s </w:t>
      </w:r>
      <w:r w:rsidR="007B34EE" w:rsidRPr="0093413E">
        <w:rPr>
          <w:rFonts w:asciiTheme="majorBidi" w:eastAsiaTheme="minorHAnsi" w:hAnsiTheme="majorBidi" w:cstheme="majorBidi"/>
          <w:sz w:val="24"/>
          <w:szCs w:val="24"/>
        </w:rPr>
        <w:t>audit quality</w:t>
      </w:r>
      <w:r w:rsidR="00EB0811">
        <w:rPr>
          <w:rFonts w:asciiTheme="majorBidi" w:eastAsiaTheme="minorHAnsi" w:hAnsiTheme="majorBidi" w:cstheme="majorBidi"/>
          <w:sz w:val="24"/>
          <w:szCs w:val="24"/>
        </w:rPr>
        <w:t xml:space="preserve"> (</w:t>
      </w:r>
      <w:r w:rsidR="00EB0811">
        <w:t xml:space="preserve">Menz (2010) and Oikonomou, Brooks, and </w:t>
      </w:r>
      <w:proofErr w:type="spellStart"/>
      <w:r w:rsidR="00EB0811">
        <w:t>Pavelin</w:t>
      </w:r>
      <w:proofErr w:type="spellEnd"/>
      <w:r w:rsidR="00EB0811">
        <w:t xml:space="preserve"> (2014)</w:t>
      </w:r>
      <w:r w:rsidRPr="0093413E">
        <w:rPr>
          <w:rFonts w:asciiTheme="majorBidi" w:eastAsiaTheme="minorHAnsi" w:hAnsiTheme="majorBidi" w:cstheme="majorBidi"/>
          <w:sz w:val="24"/>
          <w:szCs w:val="24"/>
        </w:rPr>
        <w:t xml:space="preserve">, we include </w:t>
      </w:r>
      <w:r w:rsidR="00CA7A19" w:rsidRPr="0093413E">
        <w:rPr>
          <w:rFonts w:asciiTheme="majorBidi" w:eastAsiaTheme="minorHAnsi" w:hAnsiTheme="majorBidi" w:cstheme="majorBidi"/>
          <w:sz w:val="24"/>
          <w:szCs w:val="24"/>
        </w:rPr>
        <w:t>an indicator variable for auditor reputation. It takes the value of one for Big Four</w:t>
      </w:r>
      <w:r w:rsidR="00E4024E" w:rsidRPr="0093413E">
        <w:rPr>
          <w:rFonts w:asciiTheme="majorBidi" w:eastAsiaTheme="minorHAnsi" w:hAnsiTheme="majorBidi" w:cstheme="majorBidi"/>
          <w:sz w:val="24"/>
          <w:szCs w:val="24"/>
        </w:rPr>
        <w:t xml:space="preserve"> </w:t>
      </w:r>
      <w:r w:rsidR="00CA7A19" w:rsidRPr="0093413E">
        <w:rPr>
          <w:rFonts w:asciiTheme="majorBidi" w:eastAsiaTheme="minorHAnsi" w:hAnsiTheme="majorBidi" w:cstheme="majorBidi"/>
          <w:sz w:val="24"/>
          <w:szCs w:val="24"/>
        </w:rPr>
        <w:t>auditors and zero otherwise</w:t>
      </w:r>
      <w:r w:rsidR="00E4024E" w:rsidRPr="0093413E">
        <w:rPr>
          <w:rFonts w:asciiTheme="majorBidi" w:eastAsiaTheme="minorHAnsi" w:hAnsiTheme="majorBidi" w:cstheme="majorBidi"/>
          <w:sz w:val="24"/>
          <w:szCs w:val="24"/>
        </w:rPr>
        <w:t xml:space="preserve">. </w:t>
      </w:r>
      <w:r w:rsidR="001F682D" w:rsidRPr="0093413E">
        <w:rPr>
          <w:rFonts w:asciiTheme="majorBidi" w:hAnsiTheme="majorBidi" w:cstheme="majorBidi"/>
          <w:sz w:val="24"/>
          <w:szCs w:val="24"/>
        </w:rPr>
        <w:t>W</w:t>
      </w:r>
      <w:r w:rsidR="00E4024E" w:rsidRPr="0093413E">
        <w:rPr>
          <w:rFonts w:asciiTheme="majorBidi" w:hAnsiTheme="majorBidi" w:cstheme="majorBidi"/>
          <w:sz w:val="24"/>
          <w:szCs w:val="24"/>
        </w:rPr>
        <w:t xml:space="preserve">e expect that the </w:t>
      </w:r>
      <w:r w:rsidR="00E4024E" w:rsidRPr="0093413E">
        <w:rPr>
          <w:rFonts w:asciiTheme="majorBidi" w:eastAsiaTheme="minorHAnsi" w:hAnsiTheme="majorBidi" w:cstheme="majorBidi"/>
          <w:sz w:val="24"/>
          <w:szCs w:val="24"/>
        </w:rPr>
        <w:t>Big Four</w:t>
      </w:r>
      <w:r w:rsidR="00E4024E" w:rsidRPr="0093413E">
        <w:rPr>
          <w:rFonts w:asciiTheme="majorBidi" w:hAnsiTheme="majorBidi" w:cstheme="majorBidi"/>
          <w:sz w:val="24"/>
          <w:szCs w:val="24"/>
        </w:rPr>
        <w:t xml:space="preserve"> </w:t>
      </w:r>
      <w:r w:rsidR="00E4024E" w:rsidRPr="0093413E">
        <w:rPr>
          <w:rFonts w:asciiTheme="majorBidi" w:eastAsiaTheme="minorHAnsi" w:hAnsiTheme="majorBidi" w:cstheme="majorBidi"/>
          <w:sz w:val="24"/>
          <w:szCs w:val="24"/>
        </w:rPr>
        <w:t>indicator variable</w:t>
      </w:r>
      <w:r w:rsidR="00E4024E" w:rsidRPr="0093413E">
        <w:rPr>
          <w:rFonts w:asciiTheme="majorBidi" w:hAnsiTheme="majorBidi" w:cstheme="majorBidi"/>
          <w:sz w:val="24"/>
          <w:szCs w:val="24"/>
        </w:rPr>
        <w:t xml:space="preserve"> will be negatively related to yield spread and yield to yield to maturity and positively related to Bond ratings and cumulative abnormal returns.</w:t>
      </w:r>
      <w:r w:rsidR="00815657" w:rsidRPr="0093413E">
        <w:rPr>
          <w:rFonts w:asciiTheme="majorBidi" w:hAnsiTheme="majorBidi" w:cstheme="majorBidi"/>
          <w:sz w:val="24"/>
          <w:szCs w:val="24"/>
        </w:rPr>
        <w:t xml:space="preserve"> </w:t>
      </w:r>
      <w:r w:rsidR="00371A4C" w:rsidRPr="0093413E">
        <w:rPr>
          <w:rFonts w:asciiTheme="majorBidi" w:hAnsiTheme="majorBidi" w:cstheme="majorBidi"/>
          <w:sz w:val="24"/>
          <w:szCs w:val="24"/>
        </w:rPr>
        <w:t>Finally,</w:t>
      </w:r>
      <w:r w:rsidR="003E0199" w:rsidRPr="0093413E">
        <w:rPr>
          <w:rFonts w:asciiTheme="majorBidi" w:hAnsiTheme="majorBidi" w:cstheme="majorBidi"/>
          <w:sz w:val="24"/>
          <w:szCs w:val="24"/>
        </w:rPr>
        <w:t xml:space="preserve"> to </w:t>
      </w:r>
      <w:proofErr w:type="gramStart"/>
      <w:r w:rsidR="003E0199" w:rsidRPr="0093413E">
        <w:rPr>
          <w:rFonts w:asciiTheme="majorBidi" w:hAnsiTheme="majorBidi" w:cstheme="majorBidi"/>
          <w:sz w:val="24"/>
          <w:szCs w:val="24"/>
        </w:rPr>
        <w:t>control for</w:t>
      </w:r>
      <w:proofErr w:type="gramEnd"/>
      <w:r w:rsidR="003E0199" w:rsidRPr="0093413E">
        <w:rPr>
          <w:rFonts w:asciiTheme="majorBidi" w:hAnsiTheme="majorBidi" w:cstheme="majorBidi"/>
          <w:sz w:val="24"/>
          <w:szCs w:val="24"/>
        </w:rPr>
        <w:t xml:space="preserve"> </w:t>
      </w:r>
      <w:r w:rsidR="002114D6" w:rsidRPr="0093413E">
        <w:rPr>
          <w:rFonts w:asciiTheme="majorBidi" w:hAnsiTheme="majorBidi" w:cstheme="majorBidi"/>
          <w:sz w:val="24"/>
          <w:szCs w:val="24"/>
        </w:rPr>
        <w:t>firm’s</w:t>
      </w:r>
      <w:r w:rsidR="003E0199" w:rsidRPr="0093413E">
        <w:rPr>
          <w:rFonts w:asciiTheme="majorBidi" w:hAnsiTheme="majorBidi" w:cstheme="majorBidi"/>
          <w:sz w:val="24"/>
          <w:szCs w:val="24"/>
        </w:rPr>
        <w:t xml:space="preserve"> </w:t>
      </w:r>
      <w:r w:rsidR="00176D61" w:rsidRPr="0093413E">
        <w:rPr>
          <w:rFonts w:asciiTheme="majorBidi" w:hAnsiTheme="majorBidi" w:cstheme="majorBidi"/>
          <w:sz w:val="24"/>
          <w:szCs w:val="24"/>
        </w:rPr>
        <w:t>profitability</w:t>
      </w:r>
      <w:r w:rsidR="003E0199" w:rsidRPr="0093413E">
        <w:rPr>
          <w:rFonts w:asciiTheme="majorBidi" w:hAnsiTheme="majorBidi" w:cstheme="majorBidi"/>
          <w:sz w:val="24"/>
          <w:szCs w:val="24"/>
        </w:rPr>
        <w:t xml:space="preserve"> and ability to cover </w:t>
      </w:r>
      <w:r w:rsidR="00176D61" w:rsidRPr="0093413E">
        <w:rPr>
          <w:rFonts w:asciiTheme="majorBidi" w:hAnsiTheme="majorBidi" w:cstheme="majorBidi"/>
          <w:sz w:val="24"/>
          <w:szCs w:val="24"/>
        </w:rPr>
        <w:t>interest</w:t>
      </w:r>
      <w:r w:rsidR="0068565C" w:rsidRPr="0093413E">
        <w:rPr>
          <w:rFonts w:asciiTheme="majorBidi" w:hAnsiTheme="majorBidi" w:cstheme="majorBidi"/>
          <w:sz w:val="24"/>
          <w:szCs w:val="24"/>
        </w:rPr>
        <w:t xml:space="preserve"> and debt </w:t>
      </w:r>
      <w:proofErr w:type="gramStart"/>
      <w:r w:rsidR="0068565C" w:rsidRPr="0093413E">
        <w:rPr>
          <w:rFonts w:asciiTheme="majorBidi" w:hAnsiTheme="majorBidi" w:cstheme="majorBidi"/>
          <w:sz w:val="24"/>
          <w:szCs w:val="24"/>
        </w:rPr>
        <w:t xml:space="preserve">payment </w:t>
      </w:r>
      <w:r w:rsidR="00EB0811">
        <w:rPr>
          <w:rFonts w:asciiTheme="majorBidi" w:hAnsiTheme="majorBidi" w:cstheme="majorBidi"/>
          <w:sz w:val="24"/>
          <w:szCs w:val="24"/>
        </w:rPr>
        <w:t>(</w:t>
      </w:r>
      <w:r w:rsidR="00EB0811">
        <w:t>(</w:t>
      </w:r>
      <w:proofErr w:type="gramEnd"/>
      <w:r w:rsidR="00EB0811">
        <w:t xml:space="preserve">Godfrey, 2005; Du et al., 2015; Ferrell et al., </w:t>
      </w:r>
      <w:proofErr w:type="gramStart"/>
      <w:r w:rsidR="00EB0811">
        <w:t>2016)</w:t>
      </w:r>
      <w:r w:rsidR="00EB0811">
        <w:rPr>
          <w:rFonts w:asciiTheme="majorBidi" w:hAnsiTheme="majorBidi" w:cstheme="majorBidi"/>
          <w:sz w:val="24"/>
          <w:szCs w:val="24"/>
        </w:rPr>
        <w:t>)</w:t>
      </w:r>
      <w:proofErr w:type="gramEnd"/>
      <w:r w:rsidR="0068565C" w:rsidRPr="0093413E">
        <w:rPr>
          <w:rFonts w:asciiTheme="majorBidi" w:hAnsiTheme="majorBidi" w:cstheme="majorBidi"/>
          <w:sz w:val="24"/>
          <w:szCs w:val="24"/>
        </w:rPr>
        <w:t xml:space="preserve">, we </w:t>
      </w:r>
      <w:proofErr w:type="gramStart"/>
      <w:r w:rsidR="00176D61" w:rsidRPr="0093413E">
        <w:rPr>
          <w:rFonts w:asciiTheme="majorBidi" w:hAnsiTheme="majorBidi" w:cstheme="majorBidi"/>
          <w:sz w:val="24"/>
          <w:szCs w:val="24"/>
        </w:rPr>
        <w:t>include</w:t>
      </w:r>
      <w:r w:rsidR="0068565C" w:rsidRPr="0093413E">
        <w:rPr>
          <w:rFonts w:asciiTheme="majorBidi" w:hAnsiTheme="majorBidi" w:cstheme="majorBidi"/>
          <w:sz w:val="24"/>
          <w:szCs w:val="24"/>
        </w:rPr>
        <w:t xml:space="preserve"> </w:t>
      </w:r>
      <w:r w:rsidR="00C91F12" w:rsidRPr="0093413E">
        <w:rPr>
          <w:rFonts w:asciiTheme="majorBidi" w:hAnsiTheme="majorBidi" w:cstheme="majorBidi"/>
          <w:sz w:val="24"/>
          <w:szCs w:val="24"/>
        </w:rPr>
        <w:t xml:space="preserve"> </w:t>
      </w:r>
      <w:r w:rsidR="00C91F12" w:rsidRPr="0093413E">
        <w:rPr>
          <w:rFonts w:asciiTheme="majorBidi" w:hAnsiTheme="majorBidi" w:cstheme="majorBidi"/>
          <w:color w:val="000000"/>
          <w:sz w:val="24"/>
          <w:szCs w:val="24"/>
        </w:rPr>
        <w:t>Return</w:t>
      </w:r>
      <w:proofErr w:type="gramEnd"/>
      <w:r w:rsidR="00C91F12" w:rsidRPr="0093413E">
        <w:rPr>
          <w:rFonts w:asciiTheme="majorBidi" w:hAnsiTheme="majorBidi" w:cstheme="majorBidi"/>
          <w:color w:val="000000"/>
          <w:sz w:val="24"/>
          <w:szCs w:val="24"/>
        </w:rPr>
        <w:t xml:space="preserve"> on </w:t>
      </w:r>
      <w:proofErr w:type="gramStart"/>
      <w:r w:rsidR="00C91F12" w:rsidRPr="0093413E">
        <w:rPr>
          <w:rFonts w:asciiTheme="majorBidi" w:hAnsiTheme="majorBidi" w:cstheme="majorBidi"/>
          <w:color w:val="000000"/>
          <w:sz w:val="24"/>
          <w:szCs w:val="24"/>
        </w:rPr>
        <w:t>Assets</w:t>
      </w:r>
      <w:r w:rsidR="00C91F12" w:rsidRPr="0093413E">
        <w:rPr>
          <w:rFonts w:asciiTheme="majorBidi" w:eastAsiaTheme="minorHAnsi" w:hAnsiTheme="majorBidi" w:cstheme="majorBidi"/>
          <w:sz w:val="24"/>
          <w:szCs w:val="24"/>
        </w:rPr>
        <w:t xml:space="preserve"> </w:t>
      </w:r>
      <w:r w:rsidR="00815657" w:rsidRPr="0093413E">
        <w:rPr>
          <w:rFonts w:asciiTheme="majorBidi" w:eastAsiaTheme="minorHAnsi" w:hAnsiTheme="majorBidi" w:cstheme="majorBidi"/>
          <w:sz w:val="24"/>
          <w:szCs w:val="24"/>
        </w:rPr>
        <w:t>,</w:t>
      </w:r>
      <w:r w:rsidR="00C91F12" w:rsidRPr="0093413E">
        <w:rPr>
          <w:rFonts w:asciiTheme="majorBidi" w:eastAsiaTheme="minorHAnsi" w:hAnsiTheme="majorBidi" w:cstheme="majorBidi"/>
          <w:sz w:val="24"/>
          <w:szCs w:val="24"/>
        </w:rPr>
        <w:t>defined</w:t>
      </w:r>
      <w:proofErr w:type="gramEnd"/>
      <w:r w:rsidR="00C91F12" w:rsidRPr="0093413E">
        <w:rPr>
          <w:rFonts w:asciiTheme="majorBidi" w:eastAsiaTheme="minorHAnsi" w:hAnsiTheme="majorBidi" w:cstheme="majorBidi"/>
          <w:sz w:val="24"/>
          <w:szCs w:val="24"/>
        </w:rPr>
        <w:t xml:space="preserve"> as net income divided by total assets</w:t>
      </w:r>
      <w:r w:rsidR="00815657" w:rsidRPr="0093413E">
        <w:rPr>
          <w:rFonts w:asciiTheme="majorBidi" w:eastAsiaTheme="minorHAnsi" w:hAnsiTheme="majorBidi" w:cstheme="majorBidi"/>
          <w:sz w:val="24"/>
          <w:szCs w:val="24"/>
        </w:rPr>
        <w:t xml:space="preserve">, in our </w:t>
      </w:r>
      <w:r w:rsidR="00176D61" w:rsidRPr="0093413E">
        <w:rPr>
          <w:rFonts w:asciiTheme="majorBidi" w:eastAsiaTheme="minorHAnsi" w:hAnsiTheme="majorBidi" w:cstheme="majorBidi"/>
          <w:sz w:val="24"/>
          <w:szCs w:val="24"/>
        </w:rPr>
        <w:t>control</w:t>
      </w:r>
      <w:r w:rsidR="00815657" w:rsidRPr="0093413E">
        <w:rPr>
          <w:rFonts w:asciiTheme="majorBidi" w:eastAsiaTheme="minorHAnsi" w:hAnsiTheme="majorBidi" w:cstheme="majorBidi"/>
          <w:sz w:val="24"/>
          <w:szCs w:val="24"/>
        </w:rPr>
        <w:t xml:space="preserve"> </w:t>
      </w:r>
      <w:r w:rsidR="00176D61" w:rsidRPr="0093413E">
        <w:rPr>
          <w:rFonts w:asciiTheme="majorBidi" w:eastAsiaTheme="minorHAnsi" w:hAnsiTheme="majorBidi" w:cstheme="majorBidi"/>
          <w:sz w:val="24"/>
          <w:szCs w:val="24"/>
        </w:rPr>
        <w:t xml:space="preserve">variables at the firm level. </w:t>
      </w:r>
      <w:r w:rsidR="00815657" w:rsidRPr="0093413E">
        <w:rPr>
          <w:rFonts w:asciiTheme="majorBidi" w:eastAsiaTheme="minorHAnsi" w:hAnsiTheme="majorBidi" w:cstheme="majorBidi"/>
          <w:sz w:val="24"/>
          <w:szCs w:val="24"/>
        </w:rPr>
        <w:t xml:space="preserve"> </w:t>
      </w:r>
      <w:r w:rsidR="00176D61" w:rsidRPr="0093413E">
        <w:rPr>
          <w:rFonts w:asciiTheme="majorBidi" w:eastAsiaTheme="minorHAnsi" w:hAnsiTheme="majorBidi" w:cstheme="majorBidi"/>
          <w:sz w:val="24"/>
          <w:szCs w:val="24"/>
        </w:rPr>
        <w:t xml:space="preserve"> </w:t>
      </w:r>
      <w:r w:rsidR="001F682D" w:rsidRPr="0093413E">
        <w:rPr>
          <w:rFonts w:asciiTheme="majorBidi" w:hAnsiTheme="majorBidi" w:cstheme="majorBidi"/>
          <w:sz w:val="24"/>
          <w:szCs w:val="24"/>
        </w:rPr>
        <w:t>W</w:t>
      </w:r>
      <w:r w:rsidR="00176D61" w:rsidRPr="0093413E">
        <w:rPr>
          <w:rFonts w:asciiTheme="majorBidi" w:hAnsiTheme="majorBidi" w:cstheme="majorBidi"/>
          <w:sz w:val="24"/>
          <w:szCs w:val="24"/>
        </w:rPr>
        <w:t xml:space="preserve">e expect that </w:t>
      </w:r>
      <w:r w:rsidR="00176D61" w:rsidRPr="0093413E">
        <w:rPr>
          <w:rFonts w:asciiTheme="majorBidi" w:hAnsiTheme="majorBidi" w:cstheme="majorBidi"/>
          <w:sz w:val="24"/>
          <w:szCs w:val="24"/>
        </w:rPr>
        <w:lastRenderedPageBreak/>
        <w:t>profitability will be negatively related to yield spread and yield to yield to maturity and positively related to Bond ratings and cumulative abnormal returns.</w:t>
      </w:r>
    </w:p>
    <w:p w14:paraId="2337898B" w14:textId="2856B3BB" w:rsidR="007929FC" w:rsidRPr="0093413E" w:rsidRDefault="004F634B" w:rsidP="005853BF">
      <w:pPr>
        <w:widowControl/>
        <w:adjustRightInd w:val="0"/>
        <w:ind w:firstLine="432"/>
        <w:jc w:val="both"/>
        <w:rPr>
          <w:rFonts w:asciiTheme="majorBidi" w:hAnsiTheme="majorBidi" w:cstheme="majorBidi"/>
          <w:sz w:val="24"/>
          <w:szCs w:val="24"/>
        </w:rPr>
      </w:pPr>
      <w:r w:rsidRPr="0093413E">
        <w:rPr>
          <w:rFonts w:asciiTheme="majorBidi" w:hAnsiTheme="majorBidi" w:cstheme="majorBidi"/>
          <w:sz w:val="24"/>
          <w:szCs w:val="24"/>
        </w:rPr>
        <w:t xml:space="preserve">Since this paper examines whether the environmental, social, and governance (ESG) performance </w:t>
      </w:r>
      <w:r w:rsidR="0015514F" w:rsidRPr="0093413E">
        <w:rPr>
          <w:rFonts w:asciiTheme="majorBidi" w:hAnsiTheme="majorBidi" w:cstheme="majorBidi"/>
          <w:sz w:val="24"/>
          <w:szCs w:val="24"/>
        </w:rPr>
        <w:t xml:space="preserve">and its </w:t>
      </w:r>
      <w:r w:rsidR="00375156" w:rsidRPr="0093413E">
        <w:rPr>
          <w:rFonts w:asciiTheme="majorBidi" w:hAnsiTheme="majorBidi" w:cstheme="majorBidi"/>
          <w:sz w:val="24"/>
          <w:szCs w:val="24"/>
        </w:rPr>
        <w:t>individual</w:t>
      </w:r>
      <w:r w:rsidR="0015514F" w:rsidRPr="0093413E">
        <w:rPr>
          <w:rFonts w:asciiTheme="majorBidi" w:hAnsiTheme="majorBidi" w:cstheme="majorBidi"/>
          <w:sz w:val="24"/>
          <w:szCs w:val="24"/>
        </w:rPr>
        <w:t xml:space="preserve"> </w:t>
      </w:r>
      <w:r w:rsidR="00375156" w:rsidRPr="0093413E">
        <w:rPr>
          <w:rFonts w:asciiTheme="majorBidi" w:hAnsiTheme="majorBidi" w:cstheme="majorBidi"/>
          <w:sz w:val="24"/>
          <w:szCs w:val="24"/>
        </w:rPr>
        <w:t>pillars</w:t>
      </w:r>
      <w:r w:rsidRPr="0093413E">
        <w:rPr>
          <w:rFonts w:asciiTheme="majorBidi" w:hAnsiTheme="majorBidi" w:cstheme="majorBidi"/>
          <w:sz w:val="24"/>
          <w:szCs w:val="24"/>
        </w:rPr>
        <w:t xml:space="preserve"> </w:t>
      </w:r>
      <w:r w:rsidR="00AF1297" w:rsidRPr="0093413E">
        <w:rPr>
          <w:rFonts w:asciiTheme="majorBidi" w:hAnsiTheme="majorBidi" w:cstheme="majorBidi"/>
          <w:sz w:val="24"/>
          <w:szCs w:val="24"/>
        </w:rPr>
        <w:t xml:space="preserve">impact the Bonds risk premium </w:t>
      </w:r>
      <w:r w:rsidR="00F217A0" w:rsidRPr="0093413E">
        <w:rPr>
          <w:rFonts w:asciiTheme="majorBidi" w:hAnsiTheme="majorBidi" w:cstheme="majorBidi"/>
          <w:sz w:val="24"/>
          <w:szCs w:val="24"/>
        </w:rPr>
        <w:t>, we include the combined ESG score</w:t>
      </w:r>
      <w:r w:rsidR="0024248F">
        <w:rPr>
          <w:rFonts w:asciiTheme="majorBidi" w:hAnsiTheme="majorBidi" w:cstheme="majorBidi"/>
          <w:sz w:val="24"/>
          <w:szCs w:val="24"/>
        </w:rPr>
        <w:t xml:space="preserve"> (</w:t>
      </w:r>
      <w:r w:rsidR="0024248F">
        <w:t>Polbennikov et al. (2016) and Apergis, Filippidis, &amp; Shabani (2022)</w:t>
      </w:r>
      <w:r w:rsidR="0024248F">
        <w:rPr>
          <w:rFonts w:asciiTheme="majorBidi" w:hAnsiTheme="majorBidi" w:cstheme="majorBidi"/>
          <w:sz w:val="24"/>
          <w:szCs w:val="24"/>
        </w:rPr>
        <w:t>)</w:t>
      </w:r>
      <w:r w:rsidR="00F217A0" w:rsidRPr="0093413E">
        <w:rPr>
          <w:rFonts w:asciiTheme="majorBidi" w:hAnsiTheme="majorBidi" w:cstheme="majorBidi"/>
          <w:sz w:val="24"/>
          <w:szCs w:val="24"/>
        </w:rPr>
        <w:t xml:space="preserve">, ESG </w:t>
      </w:r>
      <w:r w:rsidR="001A0A50" w:rsidRPr="0093413E">
        <w:rPr>
          <w:rFonts w:asciiTheme="majorBidi" w:hAnsiTheme="majorBidi" w:cstheme="majorBidi"/>
          <w:sz w:val="24"/>
          <w:szCs w:val="24"/>
        </w:rPr>
        <w:t xml:space="preserve">score, ESG controversies score and  </w:t>
      </w:r>
      <w:r w:rsidR="00535478" w:rsidRPr="0093413E">
        <w:rPr>
          <w:rFonts w:asciiTheme="majorBidi" w:hAnsiTheme="majorBidi" w:cstheme="majorBidi"/>
          <w:sz w:val="24"/>
          <w:szCs w:val="24"/>
        </w:rPr>
        <w:t xml:space="preserve"> </w:t>
      </w:r>
      <w:r w:rsidR="00F217A0" w:rsidRPr="0093413E">
        <w:rPr>
          <w:rFonts w:asciiTheme="majorBidi" w:hAnsiTheme="majorBidi" w:cstheme="majorBidi"/>
          <w:sz w:val="24"/>
          <w:szCs w:val="24"/>
        </w:rPr>
        <w:t xml:space="preserve"> </w:t>
      </w:r>
      <w:r w:rsidR="001A0A50" w:rsidRPr="0093413E">
        <w:rPr>
          <w:rFonts w:asciiTheme="majorBidi" w:hAnsiTheme="majorBidi" w:cstheme="majorBidi"/>
          <w:sz w:val="24"/>
          <w:szCs w:val="24"/>
        </w:rPr>
        <w:t>the</w:t>
      </w:r>
      <w:r w:rsidR="00F217A0" w:rsidRPr="0093413E">
        <w:rPr>
          <w:rFonts w:asciiTheme="majorBidi" w:hAnsiTheme="majorBidi" w:cstheme="majorBidi"/>
          <w:sz w:val="24"/>
          <w:szCs w:val="24"/>
        </w:rPr>
        <w:t xml:space="preserve"> three primary pillars</w:t>
      </w:r>
      <w:r w:rsidR="001A0A50" w:rsidRPr="0093413E">
        <w:rPr>
          <w:rFonts w:asciiTheme="majorBidi" w:hAnsiTheme="majorBidi" w:cstheme="majorBidi"/>
          <w:sz w:val="24"/>
          <w:szCs w:val="24"/>
        </w:rPr>
        <w:t xml:space="preserve"> of the ESG</w:t>
      </w:r>
      <w:r w:rsidR="00E81DE9" w:rsidRPr="0093413E">
        <w:rPr>
          <w:rFonts w:asciiTheme="majorBidi" w:hAnsiTheme="majorBidi" w:cstheme="majorBidi"/>
          <w:sz w:val="24"/>
          <w:szCs w:val="24"/>
        </w:rPr>
        <w:t xml:space="preserve"> score</w:t>
      </w:r>
      <w:r w:rsidR="00F217A0" w:rsidRPr="0093413E">
        <w:rPr>
          <w:rFonts w:asciiTheme="majorBidi" w:hAnsiTheme="majorBidi" w:cstheme="majorBidi"/>
          <w:sz w:val="24"/>
          <w:szCs w:val="24"/>
        </w:rPr>
        <w:t>: Environmental(E), Social(S), and Governance(G)</w:t>
      </w:r>
      <w:r w:rsidR="00E81DE9" w:rsidRPr="0093413E">
        <w:rPr>
          <w:rFonts w:asciiTheme="majorBidi" w:hAnsiTheme="majorBidi" w:cstheme="majorBidi"/>
          <w:sz w:val="24"/>
          <w:szCs w:val="24"/>
        </w:rPr>
        <w:t xml:space="preserve"> pillars.</w:t>
      </w:r>
      <w:r w:rsidR="00A3430F" w:rsidRPr="0093413E">
        <w:rPr>
          <w:rFonts w:asciiTheme="majorBidi" w:hAnsiTheme="majorBidi" w:cstheme="majorBidi"/>
          <w:sz w:val="24"/>
          <w:szCs w:val="24"/>
        </w:rPr>
        <w:t xml:space="preserve"> </w:t>
      </w:r>
      <w:r w:rsidR="00252DB8" w:rsidRPr="0093413E">
        <w:rPr>
          <w:rFonts w:asciiTheme="majorBidi" w:hAnsiTheme="majorBidi" w:cstheme="majorBidi"/>
          <w:sz w:val="24"/>
          <w:szCs w:val="24"/>
        </w:rPr>
        <w:t xml:space="preserve">We </w:t>
      </w:r>
      <w:r w:rsidR="00D42D62" w:rsidRPr="0093413E">
        <w:rPr>
          <w:rFonts w:asciiTheme="majorBidi" w:hAnsiTheme="majorBidi" w:cstheme="majorBidi"/>
          <w:sz w:val="24"/>
          <w:szCs w:val="24"/>
        </w:rPr>
        <w:t>predict</w:t>
      </w:r>
      <w:r w:rsidR="00252DB8" w:rsidRPr="0093413E">
        <w:rPr>
          <w:rFonts w:asciiTheme="majorBidi" w:hAnsiTheme="majorBidi" w:cstheme="majorBidi"/>
          <w:sz w:val="24"/>
          <w:szCs w:val="24"/>
        </w:rPr>
        <w:t xml:space="preserve"> that </w:t>
      </w:r>
      <w:r w:rsidR="00F217A0" w:rsidRPr="0093413E">
        <w:rPr>
          <w:rFonts w:asciiTheme="majorBidi" w:hAnsiTheme="majorBidi" w:cstheme="majorBidi"/>
          <w:sz w:val="24"/>
          <w:szCs w:val="24"/>
        </w:rPr>
        <w:t xml:space="preserve"> </w:t>
      </w:r>
      <w:r w:rsidR="00252DB8" w:rsidRPr="0093413E">
        <w:rPr>
          <w:rFonts w:asciiTheme="majorBidi" w:hAnsiTheme="majorBidi" w:cstheme="majorBidi"/>
          <w:sz w:val="24"/>
          <w:szCs w:val="24"/>
        </w:rPr>
        <w:t xml:space="preserve">the combined ESG score, ESG score, ESG controversies score and    ESG three primary pillars to </w:t>
      </w:r>
      <w:r w:rsidR="00D42D62" w:rsidRPr="0093413E">
        <w:rPr>
          <w:rFonts w:asciiTheme="majorBidi" w:hAnsiTheme="majorBidi" w:cstheme="majorBidi"/>
          <w:sz w:val="24"/>
          <w:szCs w:val="24"/>
        </w:rPr>
        <w:t xml:space="preserve">lower Bond market risk premium (Spread) and Yield to maturity </w:t>
      </w:r>
      <w:r w:rsidR="00055B9B" w:rsidRPr="0093413E">
        <w:rPr>
          <w:rFonts w:asciiTheme="majorBidi" w:hAnsiTheme="majorBidi" w:cstheme="majorBidi"/>
          <w:sz w:val="24"/>
          <w:szCs w:val="24"/>
        </w:rPr>
        <w:t xml:space="preserve">and </w:t>
      </w:r>
      <w:r w:rsidR="009314A3" w:rsidRPr="0093413E">
        <w:rPr>
          <w:rFonts w:asciiTheme="majorBidi" w:hAnsiTheme="majorBidi" w:cstheme="majorBidi"/>
          <w:sz w:val="24"/>
          <w:szCs w:val="24"/>
        </w:rPr>
        <w:t>increase</w:t>
      </w:r>
      <w:r w:rsidR="00055B9B" w:rsidRPr="0093413E">
        <w:rPr>
          <w:rFonts w:asciiTheme="majorBidi" w:hAnsiTheme="majorBidi" w:cstheme="majorBidi"/>
          <w:sz w:val="24"/>
          <w:szCs w:val="24"/>
        </w:rPr>
        <w:t xml:space="preserve"> Bond rating and </w:t>
      </w:r>
      <w:r w:rsidR="00A620FE" w:rsidRPr="0093413E">
        <w:rPr>
          <w:rFonts w:asciiTheme="majorBidi" w:hAnsiTheme="majorBidi" w:cstheme="majorBidi"/>
          <w:sz w:val="24"/>
          <w:szCs w:val="24"/>
        </w:rPr>
        <w:t xml:space="preserve">announcements </w:t>
      </w:r>
      <w:r w:rsidR="00B716FF" w:rsidRPr="0093413E">
        <w:rPr>
          <w:rFonts w:asciiTheme="majorBidi" w:hAnsiTheme="majorBidi" w:cstheme="majorBidi"/>
          <w:sz w:val="24"/>
          <w:szCs w:val="24"/>
        </w:rPr>
        <w:t>cumulative abnormal return.</w:t>
      </w:r>
    </w:p>
    <w:p w14:paraId="686CD3B6" w14:textId="77777777" w:rsidR="00F73DB4" w:rsidRPr="0093413E" w:rsidRDefault="00F73DB4" w:rsidP="005853BF">
      <w:pPr>
        <w:widowControl/>
        <w:adjustRightInd w:val="0"/>
        <w:ind w:firstLine="432"/>
        <w:jc w:val="both"/>
        <w:rPr>
          <w:rFonts w:asciiTheme="majorBidi" w:hAnsiTheme="majorBidi" w:cstheme="majorBidi"/>
          <w:sz w:val="24"/>
          <w:szCs w:val="24"/>
        </w:rPr>
      </w:pPr>
      <w:r w:rsidRPr="0093413E">
        <w:rPr>
          <w:rFonts w:asciiTheme="majorBidi" w:hAnsiTheme="majorBidi" w:cstheme="majorBidi"/>
          <w:sz w:val="24"/>
          <w:szCs w:val="24"/>
        </w:rPr>
        <w:t>All issuer characteristic control variables are lagged by one year to reduce the risk that covariates may lead the dependent variables rather than reflect prior conditions</w:t>
      </w:r>
    </w:p>
    <w:p w14:paraId="5049A6D1" w14:textId="5FC6E422" w:rsidR="00A3777B" w:rsidRPr="0093413E" w:rsidRDefault="006B069C" w:rsidP="005853BF">
      <w:pPr>
        <w:pStyle w:val="NormalWeb"/>
        <w:spacing w:before="0" w:beforeAutospacing="0"/>
        <w:ind w:firstLine="432"/>
        <w:jc w:val="both"/>
        <w:rPr>
          <w:rFonts w:asciiTheme="majorBidi" w:hAnsiTheme="majorBidi" w:cstheme="majorBidi"/>
        </w:rPr>
      </w:pPr>
      <w:r w:rsidRPr="0093413E">
        <w:rPr>
          <w:rFonts w:asciiTheme="majorBidi" w:hAnsiTheme="majorBidi" w:cstheme="majorBidi"/>
        </w:rPr>
        <w:t xml:space="preserve">Table 2 Panel </w:t>
      </w:r>
      <w:r w:rsidR="003F6150" w:rsidRPr="0093413E">
        <w:rPr>
          <w:rFonts w:asciiTheme="majorBidi" w:hAnsiTheme="majorBidi" w:cstheme="majorBidi"/>
        </w:rPr>
        <w:t>A</w:t>
      </w:r>
      <w:r w:rsidRPr="0093413E">
        <w:rPr>
          <w:rFonts w:asciiTheme="majorBidi" w:hAnsiTheme="majorBidi" w:cstheme="majorBidi"/>
        </w:rPr>
        <w:t xml:space="preserve"> shows the descriptive statistics of the </w:t>
      </w:r>
      <w:r w:rsidR="00A3777B" w:rsidRPr="0093413E">
        <w:rPr>
          <w:rFonts w:asciiTheme="majorBidi" w:hAnsiTheme="majorBidi" w:cstheme="majorBidi"/>
        </w:rPr>
        <w:t xml:space="preserve">Issuer Characteristics </w:t>
      </w:r>
      <w:r w:rsidRPr="0093413E">
        <w:rPr>
          <w:rFonts w:asciiTheme="majorBidi" w:hAnsiTheme="majorBidi" w:cstheme="majorBidi"/>
        </w:rPr>
        <w:t xml:space="preserve">variables for the full sample of </w:t>
      </w:r>
      <w:r w:rsidR="00C0770E" w:rsidRPr="0093413E">
        <w:rPr>
          <w:rFonts w:asciiTheme="majorBidi" w:hAnsiTheme="majorBidi" w:cstheme="majorBidi"/>
        </w:rPr>
        <w:t>4,258 firms</w:t>
      </w:r>
      <w:r w:rsidRPr="0093413E">
        <w:rPr>
          <w:rFonts w:asciiTheme="majorBidi" w:hAnsiTheme="majorBidi" w:cstheme="majorBidi"/>
        </w:rPr>
        <w:t xml:space="preserve">, </w:t>
      </w:r>
      <w:r w:rsidR="008065D6" w:rsidRPr="0093413E">
        <w:rPr>
          <w:rFonts w:asciiTheme="majorBidi" w:hAnsiTheme="majorBidi" w:cstheme="majorBidi"/>
        </w:rPr>
        <w:t xml:space="preserve">Issuer </w:t>
      </w:r>
      <w:r w:rsidRPr="0093413E">
        <w:rPr>
          <w:rFonts w:asciiTheme="majorBidi" w:hAnsiTheme="majorBidi" w:cstheme="majorBidi"/>
        </w:rPr>
        <w:t>firms who don’t release ESG performance data  and issue</w:t>
      </w:r>
      <w:r w:rsidR="008065D6" w:rsidRPr="0093413E">
        <w:rPr>
          <w:rFonts w:asciiTheme="majorBidi" w:hAnsiTheme="majorBidi" w:cstheme="majorBidi"/>
        </w:rPr>
        <w:t>r firms</w:t>
      </w:r>
      <w:r w:rsidRPr="0093413E">
        <w:rPr>
          <w:rFonts w:asciiTheme="majorBidi" w:hAnsiTheme="majorBidi" w:cstheme="majorBidi"/>
        </w:rPr>
        <w:t xml:space="preserve"> who release ESG performance data, respectively. </w:t>
      </w:r>
      <w:r w:rsidR="00E03C74" w:rsidRPr="0093413E">
        <w:rPr>
          <w:rFonts w:asciiTheme="majorBidi" w:hAnsiTheme="majorBidi" w:cstheme="majorBidi"/>
        </w:rPr>
        <w:t>Issuer firms</w:t>
      </w:r>
      <w:r w:rsidRPr="0093413E">
        <w:rPr>
          <w:rFonts w:asciiTheme="majorBidi" w:hAnsiTheme="majorBidi" w:cstheme="majorBidi"/>
        </w:rPr>
        <w:t xml:space="preserve"> </w:t>
      </w:r>
      <w:r w:rsidR="009314A3" w:rsidRPr="0093413E">
        <w:rPr>
          <w:rFonts w:asciiTheme="majorBidi" w:hAnsiTheme="majorBidi" w:cstheme="majorBidi"/>
        </w:rPr>
        <w:t>reporting</w:t>
      </w:r>
      <w:r w:rsidRPr="0093413E">
        <w:rPr>
          <w:rFonts w:asciiTheme="majorBidi" w:hAnsiTheme="majorBidi" w:cstheme="majorBidi"/>
        </w:rPr>
        <w:t xml:space="preserve"> ESG performance data tend to  be significantly </w:t>
      </w:r>
      <w:r w:rsidR="00F279B0" w:rsidRPr="0093413E">
        <w:rPr>
          <w:rFonts w:asciiTheme="majorBidi" w:hAnsiTheme="majorBidi" w:cstheme="majorBidi"/>
        </w:rPr>
        <w:t>larger</w:t>
      </w:r>
      <w:r w:rsidR="00605857" w:rsidRPr="0093413E">
        <w:rPr>
          <w:rFonts w:asciiTheme="majorBidi" w:hAnsiTheme="majorBidi" w:cstheme="majorBidi"/>
        </w:rPr>
        <w:t xml:space="preserve"> </w:t>
      </w:r>
      <w:r w:rsidR="00A363D6" w:rsidRPr="0093413E">
        <w:rPr>
          <w:rFonts w:asciiTheme="majorBidi" w:hAnsiTheme="majorBidi" w:cstheme="majorBidi"/>
        </w:rPr>
        <w:t xml:space="preserve">firms, carrying less debt, more </w:t>
      </w:r>
      <w:r w:rsidR="004841B1" w:rsidRPr="0093413E">
        <w:rPr>
          <w:rFonts w:asciiTheme="majorBidi" w:hAnsiTheme="majorBidi" w:cstheme="majorBidi"/>
        </w:rPr>
        <w:t>profitable</w:t>
      </w:r>
      <w:r w:rsidR="00A363D6" w:rsidRPr="0093413E">
        <w:rPr>
          <w:rFonts w:asciiTheme="majorBidi" w:hAnsiTheme="majorBidi" w:cstheme="majorBidi"/>
        </w:rPr>
        <w:t xml:space="preserve"> </w:t>
      </w:r>
      <w:r w:rsidR="00F279B0" w:rsidRPr="0093413E">
        <w:rPr>
          <w:rFonts w:asciiTheme="majorBidi" w:hAnsiTheme="majorBidi" w:cstheme="majorBidi"/>
        </w:rPr>
        <w:t>,</w:t>
      </w:r>
      <w:r w:rsidRPr="0093413E">
        <w:rPr>
          <w:rFonts w:asciiTheme="majorBidi" w:hAnsiTheme="majorBidi" w:cstheme="majorBidi"/>
        </w:rPr>
        <w:t xml:space="preserve"> </w:t>
      </w:r>
      <w:r w:rsidR="00AA248B" w:rsidRPr="0093413E">
        <w:rPr>
          <w:rFonts w:asciiTheme="majorBidi" w:hAnsiTheme="majorBidi" w:cstheme="majorBidi"/>
        </w:rPr>
        <w:t xml:space="preserve">have more </w:t>
      </w:r>
      <w:r w:rsidR="004841B1" w:rsidRPr="0093413E">
        <w:rPr>
          <w:rFonts w:asciiTheme="majorBidi" w:hAnsiTheme="majorBidi" w:cstheme="majorBidi"/>
        </w:rPr>
        <w:t>audit quality</w:t>
      </w:r>
      <w:r w:rsidR="00AA248B" w:rsidRPr="0093413E">
        <w:rPr>
          <w:rFonts w:asciiTheme="majorBidi" w:hAnsiTheme="majorBidi" w:cstheme="majorBidi"/>
        </w:rPr>
        <w:t xml:space="preserve">, </w:t>
      </w:r>
      <w:r w:rsidR="00A3777B" w:rsidRPr="0093413E">
        <w:rPr>
          <w:rFonts w:asciiTheme="majorBidi" w:hAnsiTheme="majorBidi" w:cstheme="majorBidi"/>
        </w:rPr>
        <w:t>and higher Altman Z-score</w:t>
      </w:r>
    </w:p>
    <w:p w14:paraId="7BDFE0CB" w14:textId="64304CAC" w:rsidR="005E1333" w:rsidRPr="0093413E" w:rsidRDefault="00137E80" w:rsidP="005853BF">
      <w:pPr>
        <w:widowControl/>
        <w:autoSpaceDE/>
        <w:autoSpaceDN/>
        <w:rPr>
          <w:rFonts w:asciiTheme="majorBidi" w:hAnsiTheme="majorBidi" w:cstheme="majorBidi"/>
          <w:b/>
          <w:bCs/>
          <w:sz w:val="24"/>
          <w:szCs w:val="24"/>
          <w14:ligatures w14:val="none"/>
        </w:rPr>
      </w:pPr>
      <w:r w:rsidRPr="0093413E">
        <w:rPr>
          <w:rFonts w:asciiTheme="majorBidi" w:hAnsiTheme="majorBidi" w:cstheme="majorBidi"/>
          <w:b/>
          <w:bCs/>
          <w:sz w:val="24"/>
          <w:szCs w:val="24"/>
          <w14:ligatures w14:val="none"/>
        </w:rPr>
        <w:t>Offer characteristics</w:t>
      </w:r>
      <w:r w:rsidR="005E1333" w:rsidRPr="0093413E">
        <w:rPr>
          <w:rFonts w:asciiTheme="majorBidi" w:hAnsiTheme="majorBidi" w:cstheme="majorBidi"/>
          <w:b/>
          <w:bCs/>
          <w:sz w:val="24"/>
          <w:szCs w:val="24"/>
          <w14:ligatures w14:val="none"/>
        </w:rPr>
        <w:t xml:space="preserve"> Control variables</w:t>
      </w:r>
    </w:p>
    <w:p w14:paraId="6B4C4DDB" w14:textId="1F416557" w:rsidR="0026646F" w:rsidRPr="0093413E" w:rsidRDefault="001F682D" w:rsidP="005853BF">
      <w:pPr>
        <w:pStyle w:val="NormalWeb"/>
        <w:spacing w:before="0" w:beforeAutospacing="0" w:after="0" w:afterAutospacing="0"/>
        <w:ind w:firstLine="432"/>
        <w:jc w:val="both"/>
        <w:rPr>
          <w:rFonts w:asciiTheme="majorBidi" w:hAnsiTheme="majorBidi" w:cstheme="majorBidi"/>
        </w:rPr>
      </w:pPr>
      <w:r w:rsidRPr="0093413E">
        <w:rPr>
          <w:rFonts w:asciiTheme="majorBidi" w:hAnsiTheme="majorBidi" w:cstheme="majorBidi"/>
        </w:rPr>
        <w:t xml:space="preserve">While </w:t>
      </w:r>
      <w:r w:rsidR="007D1143" w:rsidRPr="0093413E">
        <w:rPr>
          <w:rFonts w:asciiTheme="majorBidi" w:hAnsiTheme="majorBidi" w:cstheme="majorBidi"/>
        </w:rPr>
        <w:t>focusing</w:t>
      </w:r>
      <w:r w:rsidRPr="0093413E">
        <w:rPr>
          <w:rFonts w:asciiTheme="majorBidi" w:hAnsiTheme="majorBidi" w:cstheme="majorBidi"/>
        </w:rPr>
        <w:t xml:space="preserve"> o</w:t>
      </w:r>
      <w:r w:rsidR="002F735E" w:rsidRPr="0093413E">
        <w:rPr>
          <w:rFonts w:asciiTheme="majorBidi" w:hAnsiTheme="majorBidi" w:cstheme="majorBidi"/>
        </w:rPr>
        <w:t>n</w:t>
      </w:r>
      <w:r w:rsidRPr="0093413E">
        <w:rPr>
          <w:rFonts w:asciiTheme="majorBidi" w:hAnsiTheme="majorBidi" w:cstheme="majorBidi"/>
        </w:rPr>
        <w:t xml:space="preserve"> </w:t>
      </w:r>
      <w:r w:rsidR="00F80347" w:rsidRPr="0093413E">
        <w:rPr>
          <w:rFonts w:asciiTheme="majorBidi" w:hAnsiTheme="majorBidi" w:cstheme="majorBidi"/>
        </w:rPr>
        <w:t xml:space="preserve">straight debt issues </w:t>
      </w:r>
      <w:r w:rsidR="007D1143" w:rsidRPr="0093413E">
        <w:rPr>
          <w:rFonts w:asciiTheme="majorBidi" w:hAnsiTheme="majorBidi" w:cstheme="majorBidi"/>
        </w:rPr>
        <w:t>create</w:t>
      </w:r>
      <w:r w:rsidR="00F80347" w:rsidRPr="0093413E">
        <w:rPr>
          <w:rFonts w:asciiTheme="majorBidi" w:hAnsiTheme="majorBidi" w:cstheme="majorBidi"/>
        </w:rPr>
        <w:t xml:space="preserve"> more </w:t>
      </w:r>
      <w:r w:rsidR="007D1143" w:rsidRPr="0093413E">
        <w:rPr>
          <w:rFonts w:asciiTheme="majorBidi" w:hAnsiTheme="majorBidi" w:cstheme="majorBidi"/>
        </w:rPr>
        <w:t>homogeneous sample,</w:t>
      </w:r>
      <w:r w:rsidR="00DF24DF" w:rsidRPr="0093413E">
        <w:rPr>
          <w:rFonts w:asciiTheme="majorBidi" w:hAnsiTheme="majorBidi" w:cstheme="majorBidi"/>
        </w:rPr>
        <w:t xml:space="preserve"> </w:t>
      </w:r>
      <w:r w:rsidR="0044060E" w:rsidRPr="0093413E">
        <w:rPr>
          <w:rFonts w:asciiTheme="majorBidi" w:hAnsiTheme="majorBidi" w:cstheme="majorBidi"/>
        </w:rPr>
        <w:t>yet straight debt bond</w:t>
      </w:r>
      <w:r w:rsidR="00E434EE" w:rsidRPr="0093413E">
        <w:rPr>
          <w:rFonts w:asciiTheme="majorBidi" w:hAnsiTheme="majorBidi" w:cstheme="majorBidi"/>
        </w:rPr>
        <w:t>s</w:t>
      </w:r>
      <w:r w:rsidR="0044060E" w:rsidRPr="0093413E">
        <w:rPr>
          <w:rFonts w:asciiTheme="majorBidi" w:hAnsiTheme="majorBidi" w:cstheme="majorBidi"/>
        </w:rPr>
        <w:t xml:space="preserve"> vary in terms of</w:t>
      </w:r>
      <w:r w:rsidR="00AF6255" w:rsidRPr="0093413E">
        <w:rPr>
          <w:rFonts w:asciiTheme="majorBidi" w:hAnsiTheme="majorBidi" w:cstheme="majorBidi"/>
        </w:rPr>
        <w:t xml:space="preserve"> uncertainty</w:t>
      </w:r>
      <w:r w:rsidR="0044060E" w:rsidRPr="0093413E">
        <w:rPr>
          <w:rFonts w:asciiTheme="majorBidi" w:hAnsiTheme="majorBidi" w:cstheme="majorBidi"/>
        </w:rPr>
        <w:t xml:space="preserve">  , rating and </w:t>
      </w:r>
      <w:r w:rsidR="003B730A" w:rsidRPr="0093413E">
        <w:rPr>
          <w:rFonts w:asciiTheme="majorBidi" w:hAnsiTheme="majorBidi" w:cstheme="majorBidi"/>
        </w:rPr>
        <w:t>interest rate ris</w:t>
      </w:r>
      <w:r w:rsidR="00A83E58" w:rsidRPr="0093413E">
        <w:rPr>
          <w:rFonts w:asciiTheme="majorBidi" w:hAnsiTheme="majorBidi" w:cstheme="majorBidi"/>
        </w:rPr>
        <w:t>k</w:t>
      </w:r>
      <w:r w:rsidR="0044060E" w:rsidRPr="0093413E">
        <w:rPr>
          <w:rFonts w:asciiTheme="majorBidi" w:hAnsiTheme="majorBidi" w:cstheme="majorBidi"/>
        </w:rPr>
        <w:t xml:space="preserve">. </w:t>
      </w:r>
      <w:r w:rsidR="007B4292" w:rsidRPr="0093413E">
        <w:rPr>
          <w:rFonts w:asciiTheme="majorBidi" w:hAnsiTheme="majorBidi" w:cstheme="majorBidi"/>
        </w:rPr>
        <w:t xml:space="preserve"> </w:t>
      </w:r>
      <w:r w:rsidR="00A875A7" w:rsidRPr="0093413E">
        <w:rPr>
          <w:rFonts w:asciiTheme="majorBidi" w:hAnsiTheme="majorBidi" w:cstheme="majorBidi"/>
        </w:rPr>
        <w:t xml:space="preserve">To control for </w:t>
      </w:r>
      <w:proofErr w:type="gramStart"/>
      <w:r w:rsidR="00A875A7" w:rsidRPr="0093413E">
        <w:rPr>
          <w:rFonts w:asciiTheme="majorBidi" w:hAnsiTheme="majorBidi" w:cstheme="majorBidi"/>
        </w:rPr>
        <w:t>uncertainty ,</w:t>
      </w:r>
      <w:proofErr w:type="gramEnd"/>
      <w:r w:rsidR="00A875A7" w:rsidRPr="0093413E">
        <w:rPr>
          <w:rFonts w:asciiTheme="majorBidi" w:hAnsiTheme="majorBidi" w:cstheme="majorBidi"/>
        </w:rPr>
        <w:t xml:space="preserve"> </w:t>
      </w:r>
      <w:proofErr w:type="gramStart"/>
      <w:r w:rsidR="007B4292" w:rsidRPr="0093413E">
        <w:rPr>
          <w:rFonts w:asciiTheme="majorBidi" w:hAnsiTheme="majorBidi" w:cstheme="majorBidi"/>
        </w:rPr>
        <w:t>We</w:t>
      </w:r>
      <w:proofErr w:type="gramEnd"/>
      <w:r w:rsidR="007B4292" w:rsidRPr="0093413E">
        <w:rPr>
          <w:rFonts w:asciiTheme="majorBidi" w:hAnsiTheme="majorBidi" w:cstheme="majorBidi"/>
        </w:rPr>
        <w:t xml:space="preserve"> include the bond </w:t>
      </w:r>
      <w:r w:rsidR="008F58A2" w:rsidRPr="0093413E">
        <w:rPr>
          <w:rFonts w:asciiTheme="majorBidi" w:hAnsiTheme="majorBidi" w:cstheme="majorBidi"/>
        </w:rPr>
        <w:t xml:space="preserve">maturity </w:t>
      </w:r>
      <w:r w:rsidR="00D135CB">
        <w:t xml:space="preserve">(Myers &amp; Majluf, 1984; Mikkelson &amp; Partch, 1986) </w:t>
      </w:r>
      <w:r w:rsidR="008F58A2" w:rsidRPr="0093413E">
        <w:rPr>
          <w:rFonts w:asciiTheme="majorBidi" w:hAnsiTheme="majorBidi" w:cstheme="majorBidi"/>
        </w:rPr>
        <w:t xml:space="preserve">at </w:t>
      </w:r>
      <w:proofErr w:type="gramStart"/>
      <w:r w:rsidR="008F58A2" w:rsidRPr="0093413E">
        <w:rPr>
          <w:rFonts w:asciiTheme="majorBidi" w:hAnsiTheme="majorBidi" w:cstheme="majorBidi"/>
        </w:rPr>
        <w:t>time</w:t>
      </w:r>
      <w:proofErr w:type="gramEnd"/>
      <w:r w:rsidR="008F58A2" w:rsidRPr="0093413E">
        <w:rPr>
          <w:rFonts w:asciiTheme="majorBidi" w:hAnsiTheme="majorBidi" w:cstheme="majorBidi"/>
        </w:rPr>
        <w:t xml:space="preserve"> of issuance, </w:t>
      </w:r>
      <w:r w:rsidR="00E86D48" w:rsidRPr="0093413E">
        <w:rPr>
          <w:rFonts w:asciiTheme="majorBidi" w:hAnsiTheme="majorBidi" w:cstheme="majorBidi"/>
        </w:rPr>
        <w:t>measured</w:t>
      </w:r>
      <w:r w:rsidR="008F58A2" w:rsidRPr="0093413E">
        <w:rPr>
          <w:rFonts w:asciiTheme="majorBidi" w:hAnsiTheme="majorBidi" w:cstheme="majorBidi"/>
        </w:rPr>
        <w:t xml:space="preserve"> as </w:t>
      </w:r>
      <w:r w:rsidR="00E86D48" w:rsidRPr="0093413E">
        <w:rPr>
          <w:rFonts w:asciiTheme="majorBidi" w:hAnsiTheme="majorBidi" w:cstheme="majorBidi"/>
        </w:rPr>
        <w:t xml:space="preserve">the log of the numbers of years until the bond matures. Bonds </w:t>
      </w:r>
      <w:r w:rsidR="00EB2D85" w:rsidRPr="0093413E">
        <w:rPr>
          <w:rFonts w:asciiTheme="majorBidi" w:hAnsiTheme="majorBidi" w:cstheme="majorBidi"/>
        </w:rPr>
        <w:t xml:space="preserve">with longer   maturity carry greater uncertainty </w:t>
      </w:r>
      <w:r w:rsidR="006C02B8" w:rsidRPr="0093413E">
        <w:rPr>
          <w:rFonts w:asciiTheme="majorBidi" w:hAnsiTheme="majorBidi" w:cstheme="majorBidi"/>
        </w:rPr>
        <w:t xml:space="preserve">thus we expect the maturity to be </w:t>
      </w:r>
      <w:r w:rsidR="004B301A" w:rsidRPr="0093413E">
        <w:rPr>
          <w:rFonts w:asciiTheme="majorBidi" w:hAnsiTheme="majorBidi" w:cstheme="majorBidi"/>
        </w:rPr>
        <w:t xml:space="preserve">positively related to yield spread and yield to maturity. </w:t>
      </w:r>
      <w:r w:rsidR="00EC5180" w:rsidRPr="0093413E">
        <w:rPr>
          <w:rFonts w:asciiTheme="majorBidi" w:hAnsiTheme="majorBidi" w:cstheme="majorBidi"/>
        </w:rPr>
        <w:t xml:space="preserve"> To control </w:t>
      </w:r>
      <w:r w:rsidR="0004429A" w:rsidRPr="0093413E">
        <w:rPr>
          <w:rFonts w:asciiTheme="majorBidi" w:hAnsiTheme="majorBidi" w:cstheme="majorBidi"/>
        </w:rPr>
        <w:t xml:space="preserve">for </w:t>
      </w:r>
      <w:r w:rsidR="00EC5180" w:rsidRPr="0093413E">
        <w:rPr>
          <w:rFonts w:asciiTheme="majorBidi" w:hAnsiTheme="majorBidi" w:cstheme="majorBidi"/>
        </w:rPr>
        <w:t>bond’s interest rate</w:t>
      </w:r>
      <w:r w:rsidR="0004429A" w:rsidRPr="0093413E">
        <w:rPr>
          <w:rFonts w:asciiTheme="majorBidi" w:hAnsiTheme="majorBidi" w:cstheme="majorBidi"/>
        </w:rPr>
        <w:t xml:space="preserve"> </w:t>
      </w:r>
      <w:r w:rsidR="00EC5180" w:rsidRPr="0093413E">
        <w:rPr>
          <w:rFonts w:asciiTheme="majorBidi" w:hAnsiTheme="majorBidi" w:cstheme="majorBidi"/>
        </w:rPr>
        <w:t>risk</w:t>
      </w:r>
      <w:r w:rsidR="0004429A" w:rsidRPr="0093413E">
        <w:rPr>
          <w:rFonts w:asciiTheme="majorBidi" w:hAnsiTheme="majorBidi" w:cstheme="majorBidi"/>
        </w:rPr>
        <w:t>, we include the bond Duration</w:t>
      </w:r>
      <w:r w:rsidR="00742E0B" w:rsidRPr="00742E0B">
        <w:t xml:space="preserve"> </w:t>
      </w:r>
      <w:r w:rsidR="00742E0B">
        <w:t>(Dann &amp; Mikkelson, 1984; Chava, 2014)</w:t>
      </w:r>
      <w:r w:rsidR="001313A6" w:rsidRPr="0093413E">
        <w:rPr>
          <w:rFonts w:asciiTheme="majorBidi" w:hAnsiTheme="majorBidi" w:cstheme="majorBidi"/>
        </w:rPr>
        <w:t xml:space="preserve"> in our control </w:t>
      </w:r>
      <w:r w:rsidR="0002396F" w:rsidRPr="0093413E">
        <w:rPr>
          <w:rFonts w:asciiTheme="majorBidi" w:hAnsiTheme="majorBidi" w:cstheme="majorBidi"/>
        </w:rPr>
        <w:t>variables</w:t>
      </w:r>
      <w:r w:rsidR="001313A6" w:rsidRPr="0093413E">
        <w:rPr>
          <w:rFonts w:asciiTheme="majorBidi" w:hAnsiTheme="majorBidi" w:cstheme="majorBidi"/>
        </w:rPr>
        <w:t xml:space="preserve">. </w:t>
      </w:r>
      <w:r w:rsidR="003F48A6" w:rsidRPr="0093413E">
        <w:rPr>
          <w:rFonts w:asciiTheme="majorBidi" w:hAnsiTheme="majorBidi" w:cstheme="majorBidi"/>
        </w:rPr>
        <w:t xml:space="preserve">Bonds with higher durations </w:t>
      </w:r>
      <w:r w:rsidR="00515A68" w:rsidRPr="0093413E">
        <w:rPr>
          <w:rFonts w:asciiTheme="majorBidi" w:hAnsiTheme="majorBidi" w:cstheme="majorBidi"/>
        </w:rPr>
        <w:t xml:space="preserve">are sensitive to interest rate changes </w:t>
      </w:r>
      <w:r w:rsidR="00D11727" w:rsidRPr="0093413E">
        <w:rPr>
          <w:rFonts w:asciiTheme="majorBidi" w:hAnsiTheme="majorBidi" w:cstheme="majorBidi"/>
        </w:rPr>
        <w:t xml:space="preserve">thus </w:t>
      </w:r>
      <w:r w:rsidR="00405D36" w:rsidRPr="0093413E">
        <w:rPr>
          <w:rFonts w:asciiTheme="majorBidi" w:hAnsiTheme="majorBidi" w:cstheme="majorBidi"/>
        </w:rPr>
        <w:t xml:space="preserve">we expect the Duration to be </w:t>
      </w:r>
      <w:r w:rsidR="00BB7413" w:rsidRPr="0093413E">
        <w:rPr>
          <w:rFonts w:asciiTheme="majorBidi" w:hAnsiTheme="majorBidi" w:cstheme="majorBidi"/>
        </w:rPr>
        <w:t>negatively</w:t>
      </w:r>
      <w:r w:rsidR="00405D36" w:rsidRPr="0093413E">
        <w:rPr>
          <w:rFonts w:asciiTheme="majorBidi" w:hAnsiTheme="majorBidi" w:cstheme="majorBidi"/>
        </w:rPr>
        <w:t xml:space="preserve"> related to yield spread and yield to maturity</w:t>
      </w:r>
      <w:r w:rsidR="00BB7413" w:rsidRPr="0093413E">
        <w:rPr>
          <w:rFonts w:asciiTheme="majorBidi" w:hAnsiTheme="majorBidi" w:cstheme="majorBidi"/>
        </w:rPr>
        <w:t xml:space="preserve">.  </w:t>
      </w:r>
      <w:r w:rsidR="00337616" w:rsidRPr="0093413E">
        <w:rPr>
          <w:rFonts w:asciiTheme="majorBidi" w:hAnsiTheme="majorBidi" w:cstheme="majorBidi"/>
        </w:rPr>
        <w:t>Finally,</w:t>
      </w:r>
      <w:r w:rsidR="00BB7413" w:rsidRPr="0093413E">
        <w:rPr>
          <w:rFonts w:asciiTheme="majorBidi" w:hAnsiTheme="majorBidi" w:cstheme="majorBidi"/>
        </w:rPr>
        <w:t xml:space="preserve"> we include the </w:t>
      </w:r>
      <w:r w:rsidR="006F4716" w:rsidRPr="0093413E">
        <w:rPr>
          <w:rFonts w:asciiTheme="majorBidi" w:hAnsiTheme="majorBidi" w:cstheme="majorBidi"/>
        </w:rPr>
        <w:t xml:space="preserve"> Issue Relative Size</w:t>
      </w:r>
      <w:r w:rsidR="00CD1041">
        <w:rPr>
          <w:rFonts w:asciiTheme="majorBidi" w:hAnsiTheme="majorBidi" w:cstheme="majorBidi"/>
        </w:rPr>
        <w:t xml:space="preserve"> </w:t>
      </w:r>
      <w:r w:rsidR="00337616" w:rsidRPr="0093413E">
        <w:rPr>
          <w:rFonts w:asciiTheme="majorBidi" w:hAnsiTheme="majorBidi" w:cstheme="majorBidi"/>
        </w:rPr>
        <w:t xml:space="preserve">measured as the Issue amount divided by total assets. </w:t>
      </w:r>
      <w:r w:rsidR="004F612C" w:rsidRPr="0093413E">
        <w:rPr>
          <w:rFonts w:asciiTheme="majorBidi" w:hAnsiTheme="majorBidi" w:cstheme="majorBidi"/>
        </w:rPr>
        <w:t>The impact o</w:t>
      </w:r>
      <w:r w:rsidR="000D4389" w:rsidRPr="0093413E">
        <w:rPr>
          <w:rFonts w:asciiTheme="majorBidi" w:hAnsiTheme="majorBidi" w:cstheme="majorBidi"/>
        </w:rPr>
        <w:t>f</w:t>
      </w:r>
      <w:r w:rsidR="004F612C" w:rsidRPr="0093413E">
        <w:rPr>
          <w:rFonts w:asciiTheme="majorBidi" w:hAnsiTheme="majorBidi" w:cstheme="majorBidi"/>
        </w:rPr>
        <w:t xml:space="preserve"> t</w:t>
      </w:r>
      <w:r w:rsidR="0095746C" w:rsidRPr="0093413E">
        <w:rPr>
          <w:rFonts w:asciiTheme="majorBidi" w:hAnsiTheme="majorBidi" w:cstheme="majorBidi"/>
        </w:rPr>
        <w:t xml:space="preserve">he </w:t>
      </w:r>
      <w:r w:rsidR="004F612C" w:rsidRPr="0093413E">
        <w:rPr>
          <w:rFonts w:asciiTheme="majorBidi" w:hAnsiTheme="majorBidi" w:cstheme="majorBidi"/>
        </w:rPr>
        <w:t xml:space="preserve">Issue Relative Size  on </w:t>
      </w:r>
      <w:r w:rsidR="001D5F15" w:rsidRPr="0093413E">
        <w:rPr>
          <w:rFonts w:asciiTheme="majorBidi" w:hAnsiTheme="majorBidi" w:cstheme="majorBidi"/>
        </w:rPr>
        <w:t xml:space="preserve">yield spread and yield to maturity found to have </w:t>
      </w:r>
      <w:r w:rsidR="001D5F15" w:rsidRPr="0093413E">
        <w:rPr>
          <w:rFonts w:asciiTheme="majorBidi" w:eastAsiaTheme="minorHAnsi" w:hAnsiTheme="majorBidi" w:cstheme="majorBidi"/>
        </w:rPr>
        <w:t xml:space="preserve">mixed results </w:t>
      </w:r>
      <w:r w:rsidR="00CD1041">
        <w:t>(Ortiz-Molina, 2006; Howton et al., 1998).</w:t>
      </w:r>
      <w:r w:rsidR="001D5F15" w:rsidRPr="0093413E">
        <w:rPr>
          <w:rFonts w:asciiTheme="majorBidi" w:eastAsiaTheme="minorHAnsi" w:hAnsiTheme="majorBidi" w:cstheme="majorBidi"/>
        </w:rPr>
        <w:t>about sign</w:t>
      </w:r>
      <w:r w:rsidR="00D7644F" w:rsidRPr="0093413E">
        <w:rPr>
          <w:rFonts w:asciiTheme="majorBidi" w:eastAsiaTheme="minorHAnsi" w:hAnsiTheme="majorBidi" w:cstheme="majorBidi"/>
        </w:rPr>
        <w:t xml:space="preserve"> in previous studies. </w:t>
      </w:r>
      <w:r w:rsidR="0026646F" w:rsidRPr="0093413E">
        <w:rPr>
          <w:rFonts w:asciiTheme="majorBidi" w:hAnsiTheme="majorBidi" w:cstheme="majorBidi"/>
        </w:rPr>
        <w:t xml:space="preserve">Table 2 Panel B shows the descriptive statistics of the Issuer Characteristics variables for the full sample of 4,258 firms, Issuer firms who don’t release ESG performance data  and issuer firms who release ESG performance data, respectively. Issuer firms </w:t>
      </w:r>
      <w:r w:rsidR="00A67CC5" w:rsidRPr="0093413E">
        <w:rPr>
          <w:rFonts w:asciiTheme="majorBidi" w:hAnsiTheme="majorBidi" w:cstheme="majorBidi"/>
        </w:rPr>
        <w:t>reporting</w:t>
      </w:r>
      <w:r w:rsidR="0026646F" w:rsidRPr="0093413E">
        <w:rPr>
          <w:rFonts w:asciiTheme="majorBidi" w:hAnsiTheme="majorBidi" w:cstheme="majorBidi"/>
        </w:rPr>
        <w:t xml:space="preserve"> ESG performance data tend to  be significantly larger firms, carrying less debt, more profitable , have more audit quality, and higher Altman Z-score</w:t>
      </w:r>
    </w:p>
    <w:p w14:paraId="667EB4A8" w14:textId="03E94FAB" w:rsidR="003F6150" w:rsidRPr="0093413E" w:rsidRDefault="003F6150" w:rsidP="005853BF">
      <w:pPr>
        <w:pStyle w:val="NormalWeb"/>
        <w:spacing w:before="0" w:beforeAutospacing="0"/>
        <w:ind w:firstLine="432"/>
        <w:jc w:val="both"/>
        <w:rPr>
          <w:rFonts w:asciiTheme="majorBidi" w:hAnsiTheme="majorBidi" w:cstheme="majorBidi"/>
        </w:rPr>
      </w:pPr>
      <w:r w:rsidRPr="0093413E">
        <w:rPr>
          <w:rFonts w:asciiTheme="majorBidi" w:hAnsiTheme="majorBidi" w:cstheme="majorBidi"/>
        </w:rPr>
        <w:t xml:space="preserve">Table 2 Panel B shows the descriptive statistics of the </w:t>
      </w:r>
      <w:r w:rsidR="00B611CD" w:rsidRPr="0093413E">
        <w:rPr>
          <w:rFonts w:asciiTheme="majorBidi" w:hAnsiTheme="majorBidi" w:cstheme="majorBidi"/>
        </w:rPr>
        <w:t>bond Offer characteristics</w:t>
      </w:r>
      <w:r w:rsidRPr="0093413E">
        <w:rPr>
          <w:rFonts w:asciiTheme="majorBidi" w:hAnsiTheme="majorBidi" w:cstheme="majorBidi"/>
        </w:rPr>
        <w:t xml:space="preserve"> variables for the full sample of </w:t>
      </w:r>
      <w:r w:rsidR="00B611CD" w:rsidRPr="0093413E">
        <w:rPr>
          <w:rFonts w:asciiTheme="majorBidi" w:hAnsiTheme="majorBidi" w:cstheme="majorBidi"/>
        </w:rPr>
        <w:t>8,453 offerings</w:t>
      </w:r>
      <w:r w:rsidR="009525BE" w:rsidRPr="0093413E">
        <w:rPr>
          <w:rFonts w:asciiTheme="majorBidi" w:hAnsiTheme="majorBidi" w:cstheme="majorBidi"/>
        </w:rPr>
        <w:t xml:space="preserve">. </w:t>
      </w:r>
      <w:r w:rsidRPr="0093413E">
        <w:rPr>
          <w:rFonts w:asciiTheme="majorBidi" w:hAnsiTheme="majorBidi" w:cstheme="majorBidi"/>
        </w:rPr>
        <w:t xml:space="preserve"> </w:t>
      </w:r>
      <w:r w:rsidR="009525BE" w:rsidRPr="0093413E">
        <w:rPr>
          <w:rFonts w:asciiTheme="majorBidi" w:hAnsiTheme="majorBidi" w:cstheme="majorBidi"/>
        </w:rPr>
        <w:t xml:space="preserve">Offers by </w:t>
      </w:r>
      <w:r w:rsidRPr="0093413E">
        <w:rPr>
          <w:rFonts w:asciiTheme="majorBidi" w:hAnsiTheme="majorBidi" w:cstheme="majorBidi"/>
        </w:rPr>
        <w:t xml:space="preserve">Issuer firms report ESG performance data tend </w:t>
      </w:r>
      <w:r w:rsidR="0088494B" w:rsidRPr="0093413E">
        <w:rPr>
          <w:rFonts w:asciiTheme="majorBidi" w:hAnsiTheme="majorBidi" w:cstheme="majorBidi"/>
        </w:rPr>
        <w:t>to</w:t>
      </w:r>
      <w:r w:rsidRPr="0093413E">
        <w:rPr>
          <w:rFonts w:asciiTheme="majorBidi" w:hAnsiTheme="majorBidi" w:cstheme="majorBidi"/>
        </w:rPr>
        <w:t xml:space="preserve"> significantly </w:t>
      </w:r>
      <w:r w:rsidR="005F662B" w:rsidRPr="0093413E">
        <w:rPr>
          <w:rFonts w:asciiTheme="majorBidi" w:hAnsiTheme="majorBidi" w:cstheme="majorBidi"/>
        </w:rPr>
        <w:t>have lower Yield Spread, Yield to Maturity</w:t>
      </w:r>
      <w:r w:rsidR="00F34C2B" w:rsidRPr="0093413E">
        <w:rPr>
          <w:rFonts w:asciiTheme="majorBidi" w:hAnsiTheme="majorBidi" w:cstheme="majorBidi"/>
        </w:rPr>
        <w:t>,</w:t>
      </w:r>
      <w:r w:rsidR="00437538" w:rsidRPr="0093413E">
        <w:rPr>
          <w:rFonts w:asciiTheme="majorBidi" w:hAnsiTheme="majorBidi" w:cstheme="majorBidi"/>
        </w:rPr>
        <w:t xml:space="preserve"> </w:t>
      </w:r>
      <w:r w:rsidR="00F34C2B" w:rsidRPr="0093413E">
        <w:rPr>
          <w:rFonts w:asciiTheme="majorBidi" w:hAnsiTheme="majorBidi" w:cstheme="majorBidi"/>
        </w:rPr>
        <w:t>Issue Relative Size</w:t>
      </w:r>
      <w:r w:rsidR="00437538" w:rsidRPr="0093413E">
        <w:rPr>
          <w:rFonts w:asciiTheme="majorBidi" w:hAnsiTheme="majorBidi" w:cstheme="majorBidi"/>
        </w:rPr>
        <w:t xml:space="preserve">, and higher </w:t>
      </w:r>
      <w:r w:rsidR="003371B2" w:rsidRPr="0093413E">
        <w:rPr>
          <w:rFonts w:asciiTheme="majorBidi" w:hAnsiTheme="majorBidi" w:cstheme="majorBidi"/>
        </w:rPr>
        <w:t>rating</w:t>
      </w:r>
      <w:r w:rsidR="00437538" w:rsidRPr="0093413E">
        <w:rPr>
          <w:rFonts w:asciiTheme="majorBidi" w:hAnsiTheme="majorBidi" w:cstheme="majorBidi"/>
        </w:rPr>
        <w:t>, market reaction</w:t>
      </w:r>
      <w:r w:rsidR="005F662B" w:rsidRPr="0093413E">
        <w:rPr>
          <w:rFonts w:asciiTheme="majorBidi" w:hAnsiTheme="majorBidi" w:cstheme="majorBidi"/>
        </w:rPr>
        <w:t xml:space="preserve"> </w:t>
      </w:r>
      <w:r w:rsidR="003371B2" w:rsidRPr="0093413E">
        <w:rPr>
          <w:rFonts w:asciiTheme="majorBidi" w:hAnsiTheme="majorBidi" w:cstheme="majorBidi"/>
        </w:rPr>
        <w:t xml:space="preserve">, </w:t>
      </w:r>
      <w:r w:rsidR="00663981" w:rsidRPr="0093413E">
        <w:rPr>
          <w:rFonts w:asciiTheme="majorBidi" w:hAnsiTheme="majorBidi" w:cstheme="majorBidi"/>
        </w:rPr>
        <w:t>Maturity</w:t>
      </w:r>
      <w:r w:rsidR="003371B2" w:rsidRPr="0093413E">
        <w:rPr>
          <w:rFonts w:asciiTheme="majorBidi" w:hAnsiTheme="majorBidi" w:cstheme="majorBidi"/>
        </w:rPr>
        <w:t xml:space="preserve"> and </w:t>
      </w:r>
      <w:r w:rsidR="00F34C2B" w:rsidRPr="0093413E">
        <w:rPr>
          <w:rFonts w:asciiTheme="majorBidi" w:hAnsiTheme="majorBidi" w:cstheme="majorBidi"/>
        </w:rPr>
        <w:t>Duration</w:t>
      </w:r>
      <w:r w:rsidR="00663981" w:rsidRPr="0093413E">
        <w:rPr>
          <w:rFonts w:asciiTheme="majorBidi" w:hAnsiTheme="majorBidi" w:cstheme="majorBidi"/>
        </w:rPr>
        <w:t xml:space="preserve"> </w:t>
      </w:r>
      <w:r w:rsidR="00F34C2B" w:rsidRPr="0093413E">
        <w:rPr>
          <w:rFonts w:asciiTheme="majorBidi" w:hAnsiTheme="majorBidi" w:cstheme="majorBidi"/>
        </w:rPr>
        <w:t>.</w:t>
      </w:r>
    </w:p>
    <w:p w14:paraId="3E50F4D3" w14:textId="04D5E5FE" w:rsidR="00AB04E3" w:rsidRDefault="00A642D2" w:rsidP="005853BF">
      <w:pPr>
        <w:widowControl/>
        <w:autoSpaceDE/>
        <w:autoSpaceDN/>
        <w:jc w:val="both"/>
        <w:rPr>
          <w:rFonts w:asciiTheme="majorBidi" w:hAnsiTheme="majorBidi" w:cstheme="majorBidi"/>
          <w:sz w:val="24"/>
          <w:szCs w:val="24"/>
          <w14:ligatures w14:val="none"/>
        </w:rPr>
      </w:pPr>
      <w:r w:rsidRPr="00E03C2E">
        <w:rPr>
          <w:rFonts w:asciiTheme="majorBidi" w:hAnsiTheme="majorBidi" w:cstheme="majorBidi"/>
          <w:sz w:val="24"/>
          <w:szCs w:val="24"/>
          <w14:ligatures w14:val="none"/>
        </w:rPr>
        <w:t xml:space="preserve">Table </w:t>
      </w:r>
      <w:r w:rsidR="00BE2244" w:rsidRPr="00E03C2E">
        <w:rPr>
          <w:rFonts w:asciiTheme="majorBidi" w:hAnsiTheme="majorBidi" w:cstheme="majorBidi"/>
          <w:sz w:val="24"/>
          <w:szCs w:val="24"/>
          <w14:ligatures w14:val="none"/>
        </w:rPr>
        <w:t>3</w:t>
      </w:r>
      <w:r w:rsidRPr="00E03C2E">
        <w:rPr>
          <w:rFonts w:asciiTheme="majorBidi" w:hAnsiTheme="majorBidi" w:cstheme="majorBidi"/>
          <w:sz w:val="24"/>
          <w:szCs w:val="24"/>
          <w14:ligatures w14:val="none"/>
        </w:rPr>
        <w:t xml:space="preserve"> Panel A and B shows the </w:t>
      </w:r>
      <w:r w:rsidR="000A6945" w:rsidRPr="00E03C2E">
        <w:rPr>
          <w:rFonts w:asciiTheme="majorBidi" w:hAnsiTheme="majorBidi" w:cstheme="majorBidi"/>
          <w:sz w:val="24"/>
          <w:szCs w:val="24"/>
          <w14:ligatures w14:val="none"/>
        </w:rPr>
        <w:t>correlation</w:t>
      </w:r>
      <w:r w:rsidRPr="00E03C2E">
        <w:rPr>
          <w:rFonts w:asciiTheme="majorBidi" w:hAnsiTheme="majorBidi" w:cstheme="majorBidi"/>
          <w:sz w:val="24"/>
          <w:szCs w:val="24"/>
          <w14:ligatures w14:val="none"/>
        </w:rPr>
        <w:t xml:space="preserve"> among </w:t>
      </w:r>
      <w:r w:rsidR="000A6945" w:rsidRPr="00E03C2E">
        <w:rPr>
          <w:rFonts w:asciiTheme="majorBidi" w:hAnsiTheme="majorBidi" w:cstheme="majorBidi"/>
          <w:sz w:val="24"/>
          <w:szCs w:val="24"/>
          <w14:ligatures w14:val="none"/>
        </w:rPr>
        <w:t xml:space="preserve">our dependent and independent variables. </w:t>
      </w:r>
      <w:r w:rsidR="00B91F9E" w:rsidRPr="00E03C2E">
        <w:rPr>
          <w:rFonts w:asciiTheme="majorBidi" w:hAnsiTheme="majorBidi" w:cstheme="majorBidi"/>
          <w:sz w:val="24"/>
          <w:szCs w:val="24"/>
          <w14:ligatures w14:val="none"/>
        </w:rPr>
        <w:t>Notability</w:t>
      </w:r>
      <w:r w:rsidR="00806877" w:rsidRPr="00E03C2E">
        <w:rPr>
          <w:rFonts w:asciiTheme="majorBidi" w:hAnsiTheme="majorBidi" w:cstheme="majorBidi"/>
          <w:sz w:val="24"/>
          <w:szCs w:val="24"/>
          <w14:ligatures w14:val="none"/>
        </w:rPr>
        <w:t xml:space="preserve"> that all our </w:t>
      </w:r>
      <w:r w:rsidR="00765973" w:rsidRPr="00E03C2E">
        <w:rPr>
          <w:rFonts w:asciiTheme="majorBidi" w:hAnsiTheme="majorBidi" w:cstheme="majorBidi"/>
          <w:sz w:val="24"/>
          <w:szCs w:val="24"/>
          <w14:ligatures w14:val="none"/>
        </w:rPr>
        <w:t xml:space="preserve">independent </w:t>
      </w:r>
      <w:r w:rsidR="005062B0" w:rsidRPr="00E03C2E">
        <w:rPr>
          <w:rFonts w:asciiTheme="majorBidi" w:hAnsiTheme="majorBidi" w:cstheme="majorBidi"/>
          <w:sz w:val="24"/>
          <w:szCs w:val="24"/>
          <w14:ligatures w14:val="none"/>
        </w:rPr>
        <w:t>( both in the full sample of 8543 and subsample 6752)</w:t>
      </w:r>
      <w:r w:rsidR="00633F0B" w:rsidRPr="00E03C2E">
        <w:rPr>
          <w:rFonts w:asciiTheme="majorBidi" w:hAnsiTheme="majorBidi" w:cstheme="majorBidi"/>
          <w:sz w:val="24"/>
          <w:szCs w:val="24"/>
          <w14:ligatures w14:val="none"/>
        </w:rPr>
        <w:t xml:space="preserve"> </w:t>
      </w:r>
      <w:r w:rsidR="00527151" w:rsidRPr="00E03C2E">
        <w:rPr>
          <w:rFonts w:asciiTheme="majorBidi" w:hAnsiTheme="majorBidi" w:cstheme="majorBidi"/>
          <w:sz w:val="24"/>
          <w:szCs w:val="24"/>
          <w14:ligatures w14:val="none"/>
        </w:rPr>
        <w:t>variables</w:t>
      </w:r>
      <w:r w:rsidR="005062B0" w:rsidRPr="00E03C2E">
        <w:rPr>
          <w:rFonts w:asciiTheme="majorBidi" w:hAnsiTheme="majorBidi" w:cstheme="majorBidi"/>
          <w:sz w:val="24"/>
          <w:szCs w:val="24"/>
          <w14:ligatures w14:val="none"/>
        </w:rPr>
        <w:t xml:space="preserve"> </w:t>
      </w:r>
      <w:r w:rsidR="00633F0B" w:rsidRPr="00E03C2E">
        <w:rPr>
          <w:rFonts w:asciiTheme="majorBidi" w:hAnsiTheme="majorBidi" w:cstheme="majorBidi"/>
          <w:sz w:val="24"/>
          <w:szCs w:val="24"/>
          <w14:ligatures w14:val="none"/>
        </w:rPr>
        <w:t>have</w:t>
      </w:r>
      <w:r w:rsidR="00765973" w:rsidRPr="00E03C2E">
        <w:rPr>
          <w:rFonts w:asciiTheme="majorBidi" w:hAnsiTheme="majorBidi" w:cstheme="majorBidi"/>
          <w:sz w:val="24"/>
          <w:szCs w:val="24"/>
          <w14:ligatures w14:val="none"/>
        </w:rPr>
        <w:t xml:space="preserve"> the </w:t>
      </w:r>
      <w:r w:rsidR="00B91F9E" w:rsidRPr="00E03C2E">
        <w:rPr>
          <w:rFonts w:asciiTheme="majorBidi" w:hAnsiTheme="majorBidi" w:cstheme="majorBidi"/>
          <w:sz w:val="24"/>
          <w:szCs w:val="24"/>
          <w14:ligatures w14:val="none"/>
        </w:rPr>
        <w:t>predicted</w:t>
      </w:r>
      <w:r w:rsidR="00765973" w:rsidRPr="00E03C2E">
        <w:rPr>
          <w:rFonts w:asciiTheme="majorBidi" w:hAnsiTheme="majorBidi" w:cstheme="majorBidi"/>
          <w:sz w:val="24"/>
          <w:szCs w:val="24"/>
          <w14:ligatures w14:val="none"/>
        </w:rPr>
        <w:t xml:space="preserve"> sign of </w:t>
      </w:r>
      <w:r w:rsidR="00B91F9E" w:rsidRPr="00E03C2E">
        <w:rPr>
          <w:rFonts w:asciiTheme="majorBidi" w:hAnsiTheme="majorBidi" w:cstheme="majorBidi"/>
          <w:sz w:val="24"/>
          <w:szCs w:val="24"/>
          <w14:ligatures w14:val="none"/>
        </w:rPr>
        <w:t>correlation</w:t>
      </w:r>
      <w:r w:rsidR="009E07E2" w:rsidRPr="00E03C2E">
        <w:rPr>
          <w:rFonts w:asciiTheme="majorBidi" w:hAnsiTheme="majorBidi" w:cstheme="majorBidi"/>
          <w:sz w:val="24"/>
          <w:szCs w:val="24"/>
          <w14:ligatures w14:val="none"/>
        </w:rPr>
        <w:t>, but the Big4</w:t>
      </w:r>
      <w:r w:rsidR="005062B0" w:rsidRPr="00E03C2E">
        <w:rPr>
          <w:rFonts w:asciiTheme="majorBidi" w:hAnsiTheme="majorBidi" w:cstheme="majorBidi"/>
          <w:sz w:val="24"/>
          <w:szCs w:val="24"/>
          <w14:ligatures w14:val="none"/>
        </w:rPr>
        <w:t xml:space="preserve"> t</w:t>
      </w:r>
      <w:r w:rsidR="009E07E2" w:rsidRPr="00E03C2E">
        <w:rPr>
          <w:rFonts w:asciiTheme="majorBidi" w:hAnsiTheme="majorBidi" w:cstheme="majorBidi"/>
          <w:sz w:val="24"/>
          <w:szCs w:val="24"/>
          <w14:ligatures w14:val="none"/>
        </w:rPr>
        <w:t xml:space="preserve">hat </w:t>
      </w:r>
      <w:r w:rsidR="00CC3079" w:rsidRPr="00E03C2E">
        <w:rPr>
          <w:rFonts w:asciiTheme="majorBidi" w:hAnsiTheme="majorBidi" w:cstheme="majorBidi"/>
          <w:sz w:val="24"/>
          <w:szCs w:val="24"/>
          <w14:ligatures w14:val="none"/>
        </w:rPr>
        <w:t>shows</w:t>
      </w:r>
      <w:r w:rsidR="000A6945" w:rsidRPr="00E03C2E">
        <w:rPr>
          <w:rFonts w:asciiTheme="majorBidi" w:hAnsiTheme="majorBidi" w:cstheme="majorBidi"/>
          <w:sz w:val="24"/>
          <w:szCs w:val="24"/>
          <w14:ligatures w14:val="none"/>
        </w:rPr>
        <w:t xml:space="preserve"> </w:t>
      </w:r>
      <w:r w:rsidR="007A6F2D" w:rsidRPr="00E03C2E">
        <w:rPr>
          <w:rFonts w:asciiTheme="majorBidi" w:hAnsiTheme="majorBidi" w:cstheme="majorBidi"/>
          <w:sz w:val="24"/>
          <w:szCs w:val="24"/>
          <w14:ligatures w14:val="none"/>
        </w:rPr>
        <w:t xml:space="preserve">a </w:t>
      </w:r>
      <w:r w:rsidR="00B91F9E" w:rsidRPr="00E03C2E">
        <w:rPr>
          <w:rFonts w:asciiTheme="majorBidi" w:hAnsiTheme="majorBidi" w:cstheme="majorBidi"/>
          <w:sz w:val="24"/>
          <w:szCs w:val="24"/>
          <w14:ligatures w14:val="none"/>
        </w:rPr>
        <w:t>positive</w:t>
      </w:r>
      <w:r w:rsidR="007A6F2D" w:rsidRPr="00E03C2E">
        <w:rPr>
          <w:rFonts w:asciiTheme="majorBidi" w:hAnsiTheme="majorBidi" w:cstheme="majorBidi"/>
          <w:sz w:val="24"/>
          <w:szCs w:val="24"/>
          <w14:ligatures w14:val="none"/>
        </w:rPr>
        <w:t xml:space="preserve"> </w:t>
      </w:r>
      <w:r w:rsidR="00633F0B" w:rsidRPr="00E03C2E">
        <w:rPr>
          <w:rFonts w:asciiTheme="majorBidi" w:hAnsiTheme="majorBidi" w:cstheme="majorBidi"/>
          <w:sz w:val="24"/>
          <w:szCs w:val="24"/>
          <w14:ligatures w14:val="none"/>
        </w:rPr>
        <w:t>relation with yield spread and ESG Controversies</w:t>
      </w:r>
      <w:r w:rsidR="00527151" w:rsidRPr="00E03C2E">
        <w:rPr>
          <w:rFonts w:asciiTheme="majorBidi" w:hAnsiTheme="majorBidi" w:cstheme="majorBidi"/>
          <w:sz w:val="24"/>
          <w:szCs w:val="24"/>
          <w14:ligatures w14:val="none"/>
        </w:rPr>
        <w:t xml:space="preserve"> score that shows a negative relation with </w:t>
      </w:r>
      <w:r w:rsidR="00B91F9E" w:rsidRPr="00E03C2E">
        <w:rPr>
          <w:rFonts w:asciiTheme="majorBidi" w:hAnsiTheme="majorBidi" w:cstheme="majorBidi"/>
          <w:sz w:val="24"/>
          <w:szCs w:val="24"/>
          <w14:ligatures w14:val="none"/>
        </w:rPr>
        <w:t>Moody’s</w:t>
      </w:r>
      <w:r w:rsidR="00527151" w:rsidRPr="00E03C2E">
        <w:rPr>
          <w:rFonts w:asciiTheme="majorBidi" w:hAnsiTheme="majorBidi" w:cstheme="majorBidi"/>
          <w:sz w:val="24"/>
          <w:szCs w:val="24"/>
          <w14:ligatures w14:val="none"/>
        </w:rPr>
        <w:t xml:space="preserve"> rating. </w:t>
      </w:r>
      <w:r w:rsidR="00E84958" w:rsidRPr="00E03C2E">
        <w:rPr>
          <w:rFonts w:asciiTheme="majorBidi" w:hAnsiTheme="majorBidi" w:cstheme="majorBidi"/>
          <w:sz w:val="24"/>
          <w:szCs w:val="24"/>
          <w14:ligatures w14:val="none"/>
        </w:rPr>
        <w:t>The high correlations among some of the i independent variables raise the suspicion of multicollinearity in regression analysis</w:t>
      </w:r>
      <w:r w:rsidR="003B4CE8" w:rsidRPr="00E03C2E">
        <w:rPr>
          <w:rFonts w:asciiTheme="majorBidi" w:hAnsiTheme="majorBidi" w:cstheme="majorBidi"/>
          <w:sz w:val="24"/>
          <w:szCs w:val="24"/>
          <w14:ligatures w14:val="none"/>
        </w:rPr>
        <w:t xml:space="preserve">, an issue that we address in the next section. </w:t>
      </w:r>
    </w:p>
    <w:p w14:paraId="0C4E3BB7" w14:textId="57FAA7DD" w:rsidR="0088494B" w:rsidRPr="0093413E" w:rsidRDefault="009F6D0C" w:rsidP="005853BF">
      <w:pPr>
        <w:pStyle w:val="Heading3"/>
        <w:numPr>
          <w:ilvl w:val="0"/>
          <w:numId w:val="0"/>
        </w:numPr>
        <w:ind w:left="90"/>
        <w:rPr>
          <w:rFonts w:asciiTheme="majorBidi" w:hAnsiTheme="majorBidi"/>
          <w:color w:val="auto"/>
          <w:sz w:val="24"/>
          <w:szCs w:val="24"/>
        </w:rPr>
      </w:pPr>
      <w:r w:rsidRPr="0093413E">
        <w:rPr>
          <w:rFonts w:asciiTheme="majorBidi" w:hAnsiTheme="majorBidi"/>
          <w:color w:val="auto"/>
          <w:sz w:val="24"/>
          <w:szCs w:val="24"/>
        </w:rPr>
        <w:lastRenderedPageBreak/>
        <w:t xml:space="preserve">3.3 </w:t>
      </w:r>
      <w:r w:rsidR="00EE2062" w:rsidRPr="0093413E">
        <w:rPr>
          <w:rFonts w:asciiTheme="majorBidi" w:hAnsiTheme="majorBidi"/>
          <w:color w:val="auto"/>
          <w:sz w:val="24"/>
          <w:szCs w:val="24"/>
        </w:rPr>
        <w:t>Estimation models</w:t>
      </w:r>
    </w:p>
    <w:p w14:paraId="3925227A" w14:textId="77777777" w:rsidR="001E1322" w:rsidRPr="0093413E" w:rsidRDefault="00C13655" w:rsidP="005853BF">
      <w:pPr>
        <w:widowControl/>
        <w:autoSpaceDE/>
        <w:autoSpaceDN/>
        <w:jc w:val="both"/>
        <w:rPr>
          <w:rFonts w:asciiTheme="majorBidi" w:hAnsiTheme="majorBidi" w:cstheme="majorBidi"/>
          <w:sz w:val="24"/>
          <w:szCs w:val="24"/>
          <w14:ligatures w14:val="none"/>
        </w:rPr>
      </w:pPr>
      <w:r w:rsidRPr="0093413E">
        <w:rPr>
          <w:rFonts w:asciiTheme="majorBidi" w:hAnsiTheme="majorBidi" w:cstheme="majorBidi"/>
          <w:sz w:val="24"/>
          <w:szCs w:val="24"/>
          <w14:ligatures w14:val="none"/>
        </w:rPr>
        <w:t xml:space="preserve">To test the impact of </w:t>
      </w:r>
      <w:r w:rsidR="003B7092" w:rsidRPr="0093413E">
        <w:rPr>
          <w:rFonts w:asciiTheme="majorBidi" w:hAnsiTheme="majorBidi" w:cstheme="majorBidi"/>
          <w:sz w:val="24"/>
          <w:szCs w:val="24"/>
          <w14:ligatures w14:val="none"/>
        </w:rPr>
        <w:t xml:space="preserve">ESG </w:t>
      </w:r>
      <w:r w:rsidR="00663DCE" w:rsidRPr="0093413E">
        <w:rPr>
          <w:rFonts w:asciiTheme="majorBidi" w:hAnsiTheme="majorBidi" w:cstheme="majorBidi"/>
          <w:sz w:val="24"/>
          <w:szCs w:val="24"/>
          <w14:ligatures w14:val="none"/>
        </w:rPr>
        <w:t>performance</w:t>
      </w:r>
      <w:r w:rsidR="003B7092" w:rsidRPr="0093413E">
        <w:rPr>
          <w:rFonts w:asciiTheme="majorBidi" w:hAnsiTheme="majorBidi" w:cstheme="majorBidi"/>
          <w:sz w:val="24"/>
          <w:szCs w:val="24"/>
          <w14:ligatures w14:val="none"/>
        </w:rPr>
        <w:t xml:space="preserve"> </w:t>
      </w:r>
      <w:r w:rsidR="00663DCE" w:rsidRPr="0093413E">
        <w:rPr>
          <w:rFonts w:asciiTheme="majorBidi" w:hAnsiTheme="majorBidi" w:cstheme="majorBidi"/>
          <w:sz w:val="24"/>
          <w:szCs w:val="24"/>
          <w14:ligatures w14:val="none"/>
        </w:rPr>
        <w:t xml:space="preserve">and </w:t>
      </w:r>
      <w:r w:rsidR="00D443D5" w:rsidRPr="0093413E">
        <w:rPr>
          <w:rFonts w:asciiTheme="majorBidi" w:hAnsiTheme="majorBidi" w:cstheme="majorBidi"/>
          <w:sz w:val="24"/>
          <w:szCs w:val="24"/>
          <w14:ligatures w14:val="none"/>
        </w:rPr>
        <w:t>each ESG pillar impacts</w:t>
      </w:r>
      <w:r w:rsidRPr="0093413E">
        <w:rPr>
          <w:rFonts w:asciiTheme="majorBidi" w:hAnsiTheme="majorBidi" w:cstheme="majorBidi"/>
          <w:sz w:val="24"/>
          <w:szCs w:val="24"/>
          <w14:ligatures w14:val="none"/>
        </w:rPr>
        <w:t xml:space="preserve"> on cost of </w:t>
      </w:r>
      <w:r w:rsidR="000708C0" w:rsidRPr="0093413E">
        <w:rPr>
          <w:rFonts w:asciiTheme="majorBidi" w:hAnsiTheme="majorBidi" w:cstheme="majorBidi"/>
          <w:sz w:val="24"/>
          <w:szCs w:val="24"/>
          <w14:ligatures w14:val="none"/>
        </w:rPr>
        <w:t>debt, bond</w:t>
      </w:r>
      <w:r w:rsidR="001039EE" w:rsidRPr="0093413E">
        <w:rPr>
          <w:rFonts w:asciiTheme="majorBidi" w:hAnsiTheme="majorBidi" w:cstheme="majorBidi"/>
          <w:sz w:val="24"/>
          <w:szCs w:val="24"/>
          <w14:ligatures w14:val="none"/>
        </w:rPr>
        <w:t xml:space="preserve"> rating and </w:t>
      </w:r>
      <w:r w:rsidR="00D443D5" w:rsidRPr="0093413E">
        <w:rPr>
          <w:rFonts w:asciiTheme="majorBidi" w:hAnsiTheme="majorBidi" w:cstheme="majorBidi"/>
          <w:sz w:val="24"/>
          <w:szCs w:val="24"/>
          <w14:ligatures w14:val="none"/>
        </w:rPr>
        <w:t>the market reaction to</w:t>
      </w:r>
      <w:r w:rsidR="001039EE" w:rsidRPr="0093413E">
        <w:rPr>
          <w:rFonts w:asciiTheme="majorBidi" w:hAnsiTheme="majorBidi" w:cstheme="majorBidi"/>
          <w:sz w:val="24"/>
          <w:szCs w:val="24"/>
          <w14:ligatures w14:val="none"/>
        </w:rPr>
        <w:t xml:space="preserve"> Bond</w:t>
      </w:r>
      <w:r w:rsidR="00D443D5" w:rsidRPr="0093413E">
        <w:rPr>
          <w:rFonts w:asciiTheme="majorBidi" w:hAnsiTheme="majorBidi" w:cstheme="majorBidi"/>
          <w:sz w:val="24"/>
          <w:szCs w:val="24"/>
          <w14:ligatures w14:val="none"/>
        </w:rPr>
        <w:t xml:space="preserve"> announcements</w:t>
      </w:r>
      <w:r w:rsidR="00087B27" w:rsidRPr="0093413E">
        <w:rPr>
          <w:rFonts w:asciiTheme="majorBidi" w:hAnsiTheme="majorBidi" w:cstheme="majorBidi"/>
          <w:sz w:val="24"/>
          <w:szCs w:val="24"/>
          <w14:ligatures w14:val="none"/>
        </w:rPr>
        <w:t xml:space="preserve">, </w:t>
      </w:r>
      <w:r w:rsidR="00D443D5" w:rsidRPr="0093413E">
        <w:rPr>
          <w:rFonts w:asciiTheme="majorBidi" w:hAnsiTheme="majorBidi" w:cstheme="majorBidi"/>
          <w:sz w:val="24"/>
          <w:szCs w:val="24"/>
          <w14:ligatures w14:val="none"/>
        </w:rPr>
        <w:t xml:space="preserve"> </w:t>
      </w:r>
      <w:r w:rsidR="001E1322" w:rsidRPr="0093413E">
        <w:rPr>
          <w:rFonts w:asciiTheme="majorBidi" w:hAnsiTheme="majorBidi" w:cstheme="majorBidi"/>
          <w:sz w:val="24"/>
          <w:szCs w:val="24"/>
          <w14:ligatures w14:val="none"/>
        </w:rPr>
        <w:t>we used the following general model</w:t>
      </w:r>
    </w:p>
    <w:p w14:paraId="38AA99D9" w14:textId="409BDB3D" w:rsidR="001E1322" w:rsidRPr="0093413E" w:rsidRDefault="007E3599" w:rsidP="005853BF">
      <w:pPr>
        <w:widowControl/>
        <w:autoSpaceDE/>
        <w:autoSpaceDN/>
        <w:jc w:val="both"/>
        <w:rPr>
          <w:rFonts w:asciiTheme="majorBidi" w:hAnsiTheme="majorBidi" w:cstheme="majorBidi"/>
          <w:sz w:val="24"/>
          <w:szCs w:val="24"/>
          <w14:ligatures w14:val="none"/>
        </w:rPr>
      </w:pPr>
      <m:oMathPara>
        <m:oMath>
          <m:sSub>
            <m:sSubPr>
              <m:ctrlPr>
                <w:rPr>
                  <w:rFonts w:ascii="Cambria Math" w:eastAsiaTheme="minorHAnsi" w:hAnsi="Cambria Math" w:cstheme="majorBidi"/>
                  <w:sz w:val="24"/>
                  <w:szCs w:val="24"/>
                </w:rPr>
              </m:ctrlPr>
            </m:sSubPr>
            <m:e>
              <m:r>
                <m:rPr>
                  <m:sty m:val="p"/>
                </m:rPr>
                <w:rPr>
                  <w:rFonts w:ascii="Cambria Math" w:eastAsiaTheme="minorHAnsi" w:hAnsi="Cambria Math" w:cstheme="majorBidi"/>
                  <w:sz w:val="24"/>
                  <w:szCs w:val="24"/>
                </w:rPr>
                <m:t>y</m:t>
              </m:r>
            </m:e>
            <m:sub>
              <m:r>
                <w:rPr>
                  <w:rFonts w:ascii="Cambria Math" w:eastAsiaTheme="minorHAnsi" w:hAnsi="Cambria Math" w:cstheme="majorBidi"/>
                  <w:sz w:val="24"/>
                  <w:szCs w:val="24"/>
                </w:rPr>
                <m:t>t</m:t>
              </m:r>
            </m:sub>
          </m:sSub>
          <m:r>
            <m:rPr>
              <m:sty m:val="p"/>
            </m:rPr>
            <w:rPr>
              <w:rFonts w:ascii="Cambria Math" w:eastAsiaTheme="minorHAnsi" w:hAnsi="Cambria Math" w:cstheme="majorBidi"/>
              <w:sz w:val="24"/>
              <w:szCs w:val="24"/>
            </w:rPr>
            <m:t>=</m:t>
          </m:r>
          <m:r>
            <w:rPr>
              <w:rFonts w:ascii="Cambria Math" w:eastAsiaTheme="minorHAnsi" w:hAnsi="Cambria Math" w:cstheme="majorBidi"/>
              <w:sz w:val="24"/>
              <w:szCs w:val="24"/>
            </w:rPr>
            <m:t>f</m:t>
          </m:r>
          <m:r>
            <m:rPr>
              <m:sty m:val="p"/>
            </m:rPr>
            <w:rPr>
              <w:rFonts w:ascii="Cambria Math" w:eastAsiaTheme="minorHAnsi" w:hAnsi="Cambria Math" w:cstheme="majorBidi"/>
              <w:sz w:val="24"/>
              <w:szCs w:val="24"/>
            </w:rPr>
            <m:t>(firm characteristics;ESG, Offer characteristics,</m:t>
          </m:r>
          <m:r>
            <w:rPr>
              <w:rFonts w:ascii="Cambria Math" w:eastAsiaTheme="minorHAnsi" w:hAnsi="Cambria Math" w:cstheme="majorBidi"/>
              <w:sz w:val="24"/>
              <w:szCs w:val="24"/>
            </w:rPr>
            <m:t>Year</m:t>
          </m:r>
          <m:r>
            <m:rPr>
              <m:sty m:val="p"/>
            </m:rPr>
            <w:rPr>
              <w:rFonts w:ascii="Cambria Math" w:eastAsiaTheme="minorHAnsi" w:hAnsi="Cambria Math" w:cstheme="majorBidi"/>
              <w:sz w:val="24"/>
              <w:szCs w:val="24"/>
            </w:rPr>
            <m:t xml:space="preserve"> </m:t>
          </m:r>
          <m:r>
            <w:rPr>
              <w:rFonts w:ascii="Cambria Math" w:eastAsiaTheme="minorHAnsi" w:hAnsi="Cambria Math" w:cstheme="majorBidi"/>
              <w:sz w:val="24"/>
              <w:szCs w:val="24"/>
            </w:rPr>
            <m:t>Effect</m:t>
          </m:r>
          <m:r>
            <m:rPr>
              <m:sty m:val="p"/>
            </m:rPr>
            <w:rPr>
              <w:rFonts w:ascii="Cambria Math" w:eastAsiaTheme="minorHAnsi" w:hAnsi="Cambria Math" w:cstheme="majorBidi"/>
              <w:sz w:val="24"/>
              <w:szCs w:val="24"/>
            </w:rPr>
            <m:t>,</m:t>
          </m:r>
          <m:r>
            <w:rPr>
              <w:rFonts w:ascii="Cambria Math" w:eastAsiaTheme="minorHAnsi" w:hAnsi="Cambria Math" w:cstheme="majorBidi"/>
              <w:sz w:val="24"/>
              <w:szCs w:val="24"/>
            </w:rPr>
            <m:t>Industry</m:t>
          </m:r>
          <m:r>
            <m:rPr>
              <m:sty m:val="p"/>
            </m:rPr>
            <w:rPr>
              <w:rFonts w:ascii="Cambria Math" w:eastAsiaTheme="minorHAnsi" w:hAnsi="Cambria Math" w:cstheme="majorBidi"/>
              <w:sz w:val="24"/>
              <w:szCs w:val="24"/>
            </w:rPr>
            <m:t xml:space="preserve"> </m:t>
          </m:r>
          <m:r>
            <w:rPr>
              <w:rFonts w:ascii="Cambria Math" w:eastAsiaTheme="minorHAnsi" w:hAnsi="Cambria Math" w:cstheme="majorBidi"/>
              <w:sz w:val="24"/>
              <w:szCs w:val="24"/>
            </w:rPr>
            <m:t>Effect</m:t>
          </m:r>
          <m:r>
            <m:rPr>
              <m:sty m:val="p"/>
            </m:rPr>
            <w:rPr>
              <w:rFonts w:ascii="Cambria Math" w:eastAsiaTheme="minorHAnsi" w:hAnsi="Cambria Math" w:cstheme="majorBidi"/>
              <w:sz w:val="24"/>
              <w:szCs w:val="24"/>
            </w:rPr>
            <m:t>)</m:t>
          </m:r>
        </m:oMath>
      </m:oMathPara>
    </w:p>
    <w:p w14:paraId="2111564C" w14:textId="77777777" w:rsidR="00CE2A30" w:rsidRPr="0093413E" w:rsidRDefault="00CE2A30" w:rsidP="005853BF">
      <w:pPr>
        <w:pStyle w:val="NormalWeb"/>
        <w:spacing w:before="0" w:beforeAutospacing="0" w:after="0" w:afterAutospacing="0"/>
        <w:ind w:firstLine="432"/>
        <w:jc w:val="both"/>
        <w:rPr>
          <w:rFonts w:asciiTheme="majorBidi" w:hAnsiTheme="majorBidi" w:cstheme="majorBidi"/>
          <w:color w:val="000000"/>
        </w:rPr>
      </w:pPr>
      <w:r w:rsidRPr="0093413E">
        <w:rPr>
          <w:rFonts w:asciiTheme="majorBidi" w:hAnsiTheme="majorBidi" w:cstheme="majorBidi"/>
        </w:rPr>
        <w:t>Estimating the base model for the sub sample of firm that reports ESG performance raises the issues of selection bias . To address this problem, we employ a Heckman (1979) two-stage model to correct for the selection bias. The first stage examines factors affecting the firm’s choice of reports on ESG performance data. The general model setup is as follows:</w:t>
      </w:r>
    </w:p>
    <w:p w14:paraId="31285815" w14:textId="77777777" w:rsidR="00CE2A30" w:rsidRPr="0093413E" w:rsidRDefault="007E3599" w:rsidP="005853BF">
      <w:pPr>
        <w:ind w:right="-72"/>
        <w:jc w:val="right"/>
        <w:rPr>
          <w:rFonts w:asciiTheme="majorBidi"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z</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up>
            <m:r>
              <w:rPr>
                <w:rFonts w:ascii="Cambria Math" w:hAnsi="Cambria Math" w:cstheme="majorBidi"/>
                <w:sz w:val="24"/>
                <w:szCs w:val="24"/>
              </w:rPr>
              <m:t>*</m:t>
            </m:r>
          </m:sup>
        </m:sSub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α</m:t>
            </m:r>
          </m:e>
          <m:sup>
            <m:r>
              <w:rPr>
                <w:rFonts w:ascii="Cambria Math" w:hAnsi="Cambria Math" w:cstheme="majorBidi"/>
                <w:sz w:val="24"/>
                <w:szCs w:val="24"/>
              </w:rPr>
              <m:t>'</m:t>
            </m:r>
          </m:sup>
        </m:sSup>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r>
          <w:rPr>
            <w:rFonts w:ascii="Cambria Math" w:hAnsi="Cambria Math" w:cstheme="majorBidi"/>
            <w:sz w:val="24"/>
            <w:szCs w:val="24"/>
          </w:rPr>
          <m:t xml:space="preserve">           </m:t>
        </m:r>
        <m:r>
          <w:rPr>
            <w:rFonts w:ascii="Cambria Math" w:hAnsi="Cambria Math" w:cstheme="majorBidi"/>
            <w:sz w:val="24"/>
            <w:szCs w:val="24"/>
          </w:rPr>
          <m:t>z</m:t>
        </m:r>
        <m:r>
          <w:rPr>
            <w:rFonts w:ascii="Cambria Math" w:hAnsi="Cambria Math" w:cstheme="majorBidi"/>
            <w:sz w:val="24"/>
            <w:szCs w:val="24"/>
          </w:rPr>
          <m:t xml:space="preserve">=1  </m:t>
        </m:r>
        <m:r>
          <w:rPr>
            <w:rFonts w:ascii="Cambria Math" w:hAnsi="Cambria Math" w:cstheme="majorBidi"/>
            <w:sz w:val="24"/>
            <w:szCs w:val="24"/>
          </w:rPr>
          <m:t>if</m:t>
        </m:r>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z</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up>
            <m:r>
              <w:rPr>
                <w:rFonts w:ascii="Cambria Math" w:hAnsi="Cambria Math" w:cstheme="majorBidi"/>
                <w:sz w:val="24"/>
                <w:szCs w:val="24"/>
              </w:rPr>
              <m:t>*</m:t>
            </m:r>
          </m:sup>
        </m:sSubSup>
        <m:r>
          <w:rPr>
            <w:rFonts w:ascii="Cambria Math" w:hAnsi="Cambria Math" w:cstheme="majorBidi"/>
            <w:sz w:val="24"/>
            <w:szCs w:val="24"/>
          </w:rPr>
          <m:t xml:space="preserve">&gt;0 , 0 </m:t>
        </m:r>
        <m:r>
          <w:rPr>
            <w:rFonts w:ascii="Cambria Math" w:hAnsi="Cambria Math" w:cstheme="majorBidi"/>
            <w:sz w:val="24"/>
            <w:szCs w:val="24"/>
          </w:rPr>
          <m:t>ot</m:t>
        </m:r>
        <m:r>
          <w:rPr>
            <w:rFonts w:ascii="Cambria Math" w:hAnsi="Cambria Math" w:cstheme="majorBidi"/>
            <w:sz w:val="24"/>
            <w:szCs w:val="24"/>
          </w:rPr>
          <m:t>h</m:t>
        </m:r>
        <m:r>
          <w:rPr>
            <w:rFonts w:ascii="Cambria Math" w:hAnsi="Cambria Math" w:cstheme="majorBidi"/>
            <w:sz w:val="24"/>
            <w:szCs w:val="24"/>
          </w:rPr>
          <m:t>erwise</m:t>
        </m:r>
      </m:oMath>
      <w:r w:rsidR="00CE2A30" w:rsidRPr="0093413E">
        <w:rPr>
          <w:rFonts w:asciiTheme="majorBidi" w:hAnsiTheme="majorBidi" w:cstheme="majorBidi"/>
          <w:sz w:val="24"/>
          <w:szCs w:val="24"/>
        </w:rPr>
        <w:t xml:space="preserve">                               (1)</w:t>
      </w:r>
    </w:p>
    <w:p w14:paraId="73C7F97D" w14:textId="0B55173C" w:rsidR="00CE2A30" w:rsidRPr="0093413E" w:rsidRDefault="007E3599" w:rsidP="005853BF">
      <w:pPr>
        <w:widowControl/>
        <w:autoSpaceDE/>
        <w:autoSpaceDN/>
        <w:jc w:val="right"/>
        <w:rPr>
          <w:rFonts w:asciiTheme="majorBidi" w:hAnsiTheme="majorBidi" w:cstheme="majorBidi"/>
          <w:sz w:val="24"/>
          <w:szCs w:val="24"/>
          <w14:ligatures w14:val="none"/>
        </w:rPr>
      </w:pPr>
      <m:oMath>
        <m:sSub>
          <m:sSubPr>
            <m:ctrlPr>
              <w:rPr>
                <w:rFonts w:ascii="Cambria Math" w:eastAsiaTheme="minorHAnsi" w:hAnsi="Cambria Math" w:cstheme="majorBidi"/>
                <w:sz w:val="24"/>
                <w:szCs w:val="24"/>
              </w:rPr>
            </m:ctrlPr>
          </m:sSubPr>
          <m:e>
            <m:r>
              <w:rPr>
                <w:rFonts w:ascii="Cambria Math" w:eastAsiaTheme="minorHAnsi" w:hAnsi="Cambria Math" w:cstheme="majorBidi"/>
                <w:sz w:val="24"/>
                <w:szCs w:val="24"/>
              </w:rPr>
              <m:t>y</m:t>
            </m:r>
          </m:e>
          <m:sub>
            <m:r>
              <w:rPr>
                <w:rFonts w:ascii="Cambria Math" w:eastAsiaTheme="minorHAnsi" w:hAnsi="Cambria Math" w:cstheme="majorBidi"/>
                <w:sz w:val="24"/>
                <w:szCs w:val="24"/>
              </w:rPr>
              <m:t>t</m:t>
            </m:r>
            <m:r>
              <w:rPr>
                <w:rFonts w:ascii="Cambria Math" w:eastAsiaTheme="minorHAnsi" w:hAnsi="Cambria Math" w:cstheme="majorBidi"/>
                <w:sz w:val="24"/>
                <w:szCs w:val="24"/>
              </w:rPr>
              <m:t>,</m:t>
            </m:r>
            <m:r>
              <w:rPr>
                <w:rFonts w:ascii="Cambria Math" w:eastAsiaTheme="minorHAnsi" w:hAnsi="Cambria Math" w:cstheme="majorBidi"/>
                <w:sz w:val="24"/>
                <w:szCs w:val="24"/>
              </w:rPr>
              <m:t>i</m:t>
            </m:r>
          </m:sub>
        </m:sSub>
        <m:r>
          <m:rPr>
            <m:sty m:val="p"/>
          </m:rPr>
          <w:rPr>
            <w:rFonts w:ascii="Cambria Math" w:eastAsiaTheme="minorHAnsi" w:hAnsi="Cambria Math" w:cstheme="majorBidi"/>
            <w:sz w:val="24"/>
            <w:szCs w:val="24"/>
          </w:rPr>
          <m:t>=</m:t>
        </m:r>
        <m:r>
          <w:rPr>
            <w:rFonts w:ascii="Cambria Math" w:eastAsiaTheme="minorHAnsi" w:hAnsi="Cambria Math" w:cstheme="majorBidi"/>
            <w:sz w:val="24"/>
            <w:szCs w:val="24"/>
          </w:rPr>
          <m:t>f</m:t>
        </m:r>
        <m:d>
          <m:dPr>
            <m:ctrlPr>
              <w:rPr>
                <w:rFonts w:ascii="Cambria Math" w:eastAsiaTheme="minorHAnsi" w:hAnsi="Cambria Math" w:cstheme="majorBidi"/>
                <w:sz w:val="24"/>
                <w:szCs w:val="24"/>
              </w:rPr>
            </m:ctrlPr>
          </m:dPr>
          <m:e>
            <m:r>
              <m:rPr>
                <m:sty m:val="p"/>
              </m:rPr>
              <w:rPr>
                <w:rFonts w:ascii="Cambria Math" w:eastAsiaTheme="minorHAnsi" w:hAnsi="Cambria Math" w:cstheme="majorBidi"/>
                <w:sz w:val="24"/>
                <w:szCs w:val="24"/>
              </w:rPr>
              <m:t>firm characteristics;ESG, Offer characteristics,</m:t>
            </m:r>
            <m:r>
              <m:rPr>
                <m:sty m:val="p"/>
              </m:rPr>
              <w:rPr>
                <w:rFonts w:ascii="Cambria Math" w:hAnsi="Cambria Math" w:cstheme="majorBidi"/>
                <w:sz w:val="24"/>
                <w:szCs w:val="24"/>
              </w:rPr>
              <m:t>Mills Ratio,</m:t>
            </m:r>
            <m:sSub>
              <m:sSubPr>
                <m:ctrlPr>
                  <w:rPr>
                    <w:rFonts w:ascii="Cambria Math" w:hAnsi="Cambria Math" w:cstheme="majorBid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e>
        </m:d>
        <m:r>
          <w:rPr>
            <w:rFonts w:ascii="Cambria Math" w:hAnsi="Cambria Math" w:cstheme="majorBidi"/>
            <w:sz w:val="24"/>
            <w:szCs w:val="24"/>
          </w:rPr>
          <m:t xml:space="preserve"> </m:t>
        </m:r>
        <m:r>
          <w:rPr>
            <w:rFonts w:ascii="Cambria Math" w:hAnsi="Cambria Math" w:cstheme="majorBidi"/>
            <w:sz w:val="24"/>
            <w:szCs w:val="24"/>
          </w:rPr>
          <m:t>if</m:t>
        </m:r>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z</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up/>
        </m:sSubSup>
        <m:r>
          <w:rPr>
            <w:rFonts w:ascii="Cambria Math" w:hAnsi="Cambria Math" w:cstheme="majorBidi"/>
            <w:sz w:val="24"/>
            <w:szCs w:val="24"/>
          </w:rPr>
          <m:t>=1</m:t>
        </m:r>
      </m:oMath>
      <w:r w:rsidR="00CE2A30" w:rsidRPr="0093413E">
        <w:rPr>
          <w:rFonts w:asciiTheme="majorBidi" w:hAnsiTheme="majorBidi" w:cstheme="majorBidi"/>
          <w:sz w:val="24"/>
          <w:szCs w:val="24"/>
        </w:rPr>
        <w:t xml:space="preserve">  </w:t>
      </w:r>
      <w:r w:rsidR="00097E5D">
        <w:rPr>
          <w:rFonts w:asciiTheme="majorBidi" w:hAnsiTheme="majorBidi" w:cstheme="majorBidi" w:hint="cs"/>
          <w:sz w:val="24"/>
          <w:szCs w:val="24"/>
          <w:rtl/>
        </w:rPr>
        <w:t xml:space="preserve">   </w:t>
      </w:r>
      <w:r w:rsidR="00CE2A30" w:rsidRPr="0093413E">
        <w:rPr>
          <w:rFonts w:asciiTheme="majorBidi" w:hAnsiTheme="majorBidi" w:cstheme="majorBidi"/>
          <w:sz w:val="24"/>
          <w:szCs w:val="24"/>
        </w:rPr>
        <w:t>(2)</w:t>
      </w:r>
    </w:p>
    <w:p w14:paraId="2763C086" w14:textId="0148C6A9" w:rsidR="00CE2A30" w:rsidRPr="0093413E" w:rsidRDefault="00CE2A30" w:rsidP="005853BF">
      <w:pPr>
        <w:jc w:val="both"/>
        <w:rPr>
          <w:rFonts w:asciiTheme="majorBidi" w:hAnsiTheme="majorBidi" w:cstheme="majorBidi"/>
          <w:sz w:val="24"/>
          <w:szCs w:val="24"/>
          <w14:ligatures w14:val="none"/>
        </w:rPr>
      </w:pPr>
      <w:r w:rsidRPr="0093413E">
        <w:rPr>
          <w:rFonts w:asciiTheme="majorBidi" w:hAnsiTheme="majorBidi" w:cstheme="majorBidi"/>
          <w:sz w:val="24"/>
          <w:szCs w:val="24"/>
        </w:rPr>
        <w:t>Equation (1) is the selection function of reporting</w:t>
      </w:r>
      <w:r w:rsidRPr="0093413E">
        <w:rPr>
          <w:rFonts w:asciiTheme="majorBidi" w:hAnsiTheme="majorBidi" w:cstheme="majorBidi"/>
          <w:sz w:val="24"/>
          <w:szCs w:val="24"/>
          <w14:ligatures w14:val="none"/>
        </w:rPr>
        <w:t xml:space="preserve"> ESG performance</w:t>
      </w:r>
      <w:r w:rsidRPr="0093413E">
        <w:rPr>
          <w:rFonts w:asciiTheme="majorBidi" w:hAnsiTheme="majorBidi" w:cstheme="majorBidi"/>
          <w:sz w:val="24"/>
          <w:szCs w:val="24"/>
        </w:rPr>
        <w:t xml:space="preserve"> or not. Simultaneously, the second stage examines factors that affect the cost of debt, Ratings and cumulative abnormal return, given that the firm decides to report</w:t>
      </w:r>
      <w:r w:rsidRPr="0093413E">
        <w:rPr>
          <w:rFonts w:asciiTheme="majorBidi" w:hAnsiTheme="majorBidi" w:cstheme="majorBidi"/>
          <w:sz w:val="24"/>
          <w:szCs w:val="24"/>
          <w14:ligatures w14:val="none"/>
        </w:rPr>
        <w:t xml:space="preserve"> ESG performance measures data.</w:t>
      </w:r>
    </w:p>
    <w:p w14:paraId="38DD8DC7" w14:textId="77777777" w:rsidR="00CE2A30" w:rsidRPr="0093413E" w:rsidRDefault="00CE2A30" w:rsidP="005853BF">
      <w:pPr>
        <w:jc w:val="both"/>
        <w:rPr>
          <w:rFonts w:asciiTheme="majorBidi" w:hAnsiTheme="majorBidi" w:cstheme="majorBidi"/>
          <w:sz w:val="24"/>
          <w:szCs w:val="24"/>
        </w:rPr>
      </w:pPr>
      <w:r w:rsidRPr="0093413E">
        <w:rPr>
          <w:rFonts w:asciiTheme="majorBidi" w:hAnsiTheme="majorBidi" w:cstheme="majorBidi"/>
          <w:sz w:val="24"/>
          <w:szCs w:val="24"/>
        </w:rPr>
        <w:t xml:space="preserve">The error terms </w:t>
      </w:r>
      <m:oMath>
        <m:sSub>
          <m:sSubPr>
            <m:ctrlPr>
              <w:rPr>
                <w:rFonts w:ascii="Cambria Math" w:hAnsi="Cambria Math"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i,t</m:t>
            </m:r>
          </m:sub>
        </m:sSub>
        <m:r>
          <w:rPr>
            <w:rFonts w:ascii="Cambria Math" w:hAnsi="Cambria Math" w:cstheme="majorBidi"/>
            <w:sz w:val="24"/>
            <w:szCs w:val="24"/>
          </w:rPr>
          <m:t xml:space="preserve"> </m:t>
        </m:r>
      </m:oMath>
      <w:r w:rsidRPr="0093413E">
        <w:rPr>
          <w:rFonts w:asciiTheme="majorBidi" w:hAnsiTheme="majorBidi" w:cstheme="majorBidi"/>
          <w:sz w:val="24"/>
          <w:szCs w:val="24"/>
        </w:rPr>
        <w:t xml:space="preserve">and </w:t>
      </w:r>
      <m:oMath>
        <m:sSub>
          <m:sSubPr>
            <m:ctrlPr>
              <w:rPr>
                <w:rFonts w:ascii="Cambria Math" w:hAnsi="Cambria Math" w:cstheme="majorBidi"/>
                <w:sz w:val="24"/>
                <w:szCs w:val="24"/>
              </w:rPr>
            </m:ctrlPr>
          </m:sSubPr>
          <m:e>
            <m:r>
              <w:rPr>
                <w:rFonts w:ascii="Cambria Math" w:hAnsi="Cambria Math" w:cstheme="majorBidi"/>
                <w:sz w:val="24"/>
                <w:szCs w:val="24"/>
              </w:rPr>
              <m:t>u</m:t>
            </m:r>
          </m:e>
          <m:sub>
            <m:r>
              <w:rPr>
                <w:rFonts w:ascii="Cambria Math" w:hAnsi="Cambria Math" w:cstheme="majorBidi"/>
                <w:sz w:val="24"/>
                <w:szCs w:val="24"/>
              </w:rPr>
              <m:t>i,t</m:t>
            </m:r>
          </m:sub>
        </m:sSub>
      </m:oMath>
      <w:r w:rsidRPr="0093413E">
        <w:rPr>
          <w:rFonts w:asciiTheme="majorBidi" w:hAnsiTheme="majorBidi" w:cstheme="majorBidi"/>
          <w:sz w:val="24"/>
          <w:szCs w:val="24"/>
        </w:rPr>
        <w:t xml:space="preserve"> are assumed to be normally distributed. The error terms assumed to be correlated with a correlation coefficient (</w:t>
      </w:r>
      <w:r w:rsidRPr="0093413E">
        <w:rPr>
          <w:rFonts w:asciiTheme="majorBidi" w:hAnsiTheme="majorBidi" w:cstheme="majorBidi"/>
          <w:i/>
          <w:iCs/>
          <w:sz w:val="24"/>
          <w:szCs w:val="24"/>
        </w:rPr>
        <w:t>ρ</w:t>
      </w:r>
      <w:r w:rsidRPr="0093413E">
        <w:rPr>
          <w:rFonts w:asciiTheme="majorBidi" w:hAnsiTheme="majorBidi" w:cstheme="majorBidi"/>
          <w:position w:val="-10"/>
          <w:sz w:val="24"/>
          <w:szCs w:val="24"/>
        </w:rPr>
        <w:t xml:space="preserve"> </w:t>
      </w:r>
      <w:r w:rsidRPr="0093413E">
        <w:rPr>
          <w:rFonts w:asciiTheme="majorBidi" w:hAnsiTheme="majorBidi" w:cstheme="majorBidi"/>
          <w:sz w:val="24"/>
          <w:szCs w:val="24"/>
        </w:rPr>
        <w:t xml:space="preserve"> ). The Heckman model utilizes the maximum likelihood estimation (MLE) method to allow the error terms to be correlated across equations. If the MLE of the correlation coefficient </w:t>
      </w:r>
      <w:r w:rsidRPr="0093413E">
        <w:rPr>
          <w:rFonts w:asciiTheme="majorBidi" w:hAnsiTheme="majorBidi" w:cstheme="majorBidi"/>
          <w:i/>
          <w:iCs/>
          <w:sz w:val="24"/>
          <w:szCs w:val="24"/>
        </w:rPr>
        <w:t>ρ</w:t>
      </w:r>
      <w:r w:rsidRPr="0093413E">
        <w:rPr>
          <w:rFonts w:asciiTheme="majorBidi" w:hAnsiTheme="majorBidi" w:cstheme="majorBidi"/>
          <w:sz w:val="24"/>
          <w:szCs w:val="24"/>
        </w:rPr>
        <w:t xml:space="preserve"> is significant, then two-stage mode estimation is more efficient than that of one independent regression equation.</w:t>
      </w:r>
    </w:p>
    <w:p w14:paraId="2694CE81" w14:textId="77777777" w:rsidR="00CE2A30" w:rsidRPr="0093413E" w:rsidRDefault="00CE2A30" w:rsidP="005853BF">
      <w:pPr>
        <w:tabs>
          <w:tab w:val="num" w:pos="720"/>
        </w:tabs>
        <w:jc w:val="both"/>
        <w:rPr>
          <w:rFonts w:asciiTheme="majorBidi" w:hAnsiTheme="majorBidi" w:cstheme="majorBidi"/>
          <w:sz w:val="24"/>
          <w:szCs w:val="24"/>
        </w:rPr>
      </w:pPr>
      <w:r w:rsidRPr="0093413E">
        <w:rPr>
          <w:rFonts w:asciiTheme="majorBidi" w:hAnsiTheme="majorBidi" w:cstheme="majorBidi"/>
          <w:sz w:val="24"/>
          <w:szCs w:val="24"/>
        </w:rPr>
        <w:t xml:space="preserve">In addressing the sample selection problem in equation 2 , In the first step, we estimate equation (1)  to obtain the selectivity bias terms (the inverse of Mill’s ratio). </w:t>
      </w:r>
      <w:r w:rsidRPr="0093413E">
        <w:rPr>
          <w:rFonts w:asciiTheme="majorBidi" w:hAnsiTheme="majorBidi" w:cstheme="majorBidi"/>
          <w:color w:val="000000"/>
          <w:sz w:val="24"/>
          <w:szCs w:val="24"/>
        </w:rPr>
        <w:t xml:space="preserve">In the second step, we incorporate the inverse of Mill's ratio in the regression model to explicitly consider the selection processes that produce unbiased estimates. If the inverse of Mill's ratio </w:t>
      </w:r>
      <w:r w:rsidRPr="0093413E">
        <w:rPr>
          <w:rFonts w:asciiTheme="majorBidi" w:hAnsiTheme="majorBidi" w:cstheme="majorBidi"/>
          <w:sz w:val="24"/>
          <w:szCs w:val="24"/>
        </w:rPr>
        <w:t>is statistically significant, it suggests that selection bias is present, and that the firms reporting ESG metrics differ in unobserved ways from those that do not. Heckman correction will guarantee unbiased estimates of the impact of reporting ESG on Yield</w:t>
      </w:r>
      <w:r w:rsidRPr="0093413E">
        <w:rPr>
          <w:rFonts w:asciiTheme="majorBidi" w:hAnsiTheme="majorBidi" w:cstheme="majorBidi"/>
          <w:color w:val="000000"/>
          <w:sz w:val="24"/>
          <w:szCs w:val="24"/>
        </w:rPr>
        <w:t xml:space="preserve"> Spread, rating and </w:t>
      </w:r>
      <w:r w:rsidRPr="0093413E">
        <w:rPr>
          <w:rFonts w:asciiTheme="majorBidi" w:hAnsiTheme="majorBidi" w:cstheme="majorBidi"/>
          <w:sz w:val="24"/>
          <w:szCs w:val="24"/>
        </w:rPr>
        <w:t>cumulative abnormal return, since it is accounting for the fact that only certain firms choosing to report ESG  are included in our sample.</w:t>
      </w:r>
    </w:p>
    <w:p w14:paraId="1E0DC5DC" w14:textId="55711B18" w:rsidR="000F69CF" w:rsidRPr="0093413E" w:rsidRDefault="000F69CF" w:rsidP="005853BF">
      <w:pPr>
        <w:tabs>
          <w:tab w:val="num" w:pos="720"/>
        </w:tabs>
        <w:jc w:val="both"/>
        <w:rPr>
          <w:rFonts w:asciiTheme="majorBidi" w:hAnsiTheme="majorBidi" w:cstheme="majorBidi"/>
          <w:color w:val="000000"/>
          <w:sz w:val="24"/>
          <w:szCs w:val="24"/>
        </w:rPr>
      </w:pPr>
      <w:r w:rsidRPr="0093413E">
        <w:rPr>
          <w:rFonts w:asciiTheme="majorBidi" w:hAnsiTheme="majorBidi" w:cstheme="majorBidi"/>
          <w:sz w:val="24"/>
          <w:szCs w:val="24"/>
        </w:rPr>
        <w:t>Table 3 shows high correlations among some of the independent variables that raise the suspicion of multicollinearity in regression analysis. Especially the correlation between Z score and the Issue relative size. To detect multicollinearity in our regression analysis we utilized the Variance Inflation Factor (VIF) for each model. We found that Z score has a VIF close to 10, thus we dropped Z score</w:t>
      </w:r>
      <w:r w:rsidR="007E2933">
        <w:rPr>
          <w:rFonts w:asciiTheme="majorBidi" w:hAnsiTheme="majorBidi" w:cstheme="majorBidi"/>
          <w:sz w:val="24"/>
          <w:szCs w:val="24"/>
        </w:rPr>
        <w:t xml:space="preserve"> (</w:t>
      </w:r>
      <w:r w:rsidR="00C16B01">
        <w:t>Kennedy (2008),</w:t>
      </w:r>
      <w:r w:rsidR="00C16B01" w:rsidRPr="00C16B01">
        <w:t xml:space="preserve"> </w:t>
      </w:r>
      <w:r w:rsidR="00C16B01">
        <w:t>Gujarati and Porter (2009)</w:t>
      </w:r>
      <w:r w:rsidRPr="0093413E">
        <w:rPr>
          <w:rFonts w:asciiTheme="majorBidi" w:hAnsiTheme="majorBidi" w:cstheme="majorBidi"/>
          <w:sz w:val="24"/>
          <w:szCs w:val="24"/>
        </w:rPr>
        <w:t xml:space="preserve"> from our model </w:t>
      </w:r>
      <w:r w:rsidR="001D049B">
        <w:rPr>
          <w:rFonts w:asciiTheme="majorBidi" w:hAnsiTheme="majorBidi" w:cstheme="majorBidi"/>
          <w:sz w:val="24"/>
          <w:szCs w:val="24"/>
        </w:rPr>
        <w:t xml:space="preserve">in the second stage </w:t>
      </w:r>
      <w:r w:rsidRPr="0093413E">
        <w:rPr>
          <w:rFonts w:asciiTheme="majorBidi" w:hAnsiTheme="majorBidi" w:cstheme="majorBidi"/>
          <w:sz w:val="24"/>
          <w:szCs w:val="24"/>
        </w:rPr>
        <w:t>since we have other good proxies for Firms default risk in the models.</w:t>
      </w:r>
    </w:p>
    <w:p w14:paraId="1533A398" w14:textId="77777777" w:rsidR="00CE2A30" w:rsidRPr="0093413E" w:rsidRDefault="00CE2A30" w:rsidP="005853BF">
      <w:pPr>
        <w:widowControl/>
        <w:autoSpaceDE/>
        <w:autoSpaceDN/>
        <w:jc w:val="both"/>
        <w:rPr>
          <w:rFonts w:asciiTheme="majorBidi" w:hAnsiTheme="majorBidi" w:cstheme="majorBidi"/>
          <w:sz w:val="24"/>
          <w:szCs w:val="24"/>
          <w14:ligatures w14:val="none"/>
        </w:rPr>
      </w:pPr>
      <w:r w:rsidRPr="0093413E">
        <w:rPr>
          <w:rFonts w:asciiTheme="majorBidi" w:hAnsiTheme="majorBidi" w:cstheme="majorBidi"/>
          <w:sz w:val="24"/>
          <w:szCs w:val="24"/>
          <w14:ligatures w14:val="none"/>
        </w:rPr>
        <w:t>we specify the following Base models:</w:t>
      </w:r>
    </w:p>
    <w:p w14:paraId="63F21FCF" w14:textId="77777777" w:rsidR="00CE2A30" w:rsidRPr="0093413E" w:rsidRDefault="00CE2A30" w:rsidP="005853BF">
      <w:pPr>
        <w:widowControl/>
        <w:autoSpaceDE/>
        <w:autoSpaceDN/>
        <w:jc w:val="both"/>
        <w:rPr>
          <w:rFonts w:asciiTheme="majorBidi" w:hAnsiTheme="majorBidi" w:cstheme="majorBidi"/>
          <w:sz w:val="24"/>
          <w:szCs w:val="24"/>
        </w:rPr>
      </w:pPr>
      <w:r w:rsidRPr="0093413E">
        <w:rPr>
          <w:rFonts w:asciiTheme="majorBidi" w:hAnsiTheme="majorBidi" w:cstheme="majorBidi"/>
          <w:sz w:val="24"/>
          <w:szCs w:val="24"/>
        </w:rPr>
        <w:t>First-stage</w:t>
      </w:r>
    </w:p>
    <w:p w14:paraId="5BA4E24F" w14:textId="76507068" w:rsidR="00CE2A30" w:rsidRPr="0093413E" w:rsidRDefault="007E3599" w:rsidP="005853BF">
      <w:pPr>
        <w:adjustRightInd w:val="0"/>
        <w:jc w:val="both"/>
        <w:rPr>
          <w:rFonts w:asciiTheme="majorBidi" w:hAnsiTheme="majorBidi" w:cstheme="majorBidi"/>
          <w:sz w:val="24"/>
          <w:szCs w:val="24"/>
        </w:rPr>
      </w:p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Reported</m:t>
            </m:r>
            <m:r>
              <m:rPr>
                <m:sty m:val="bi"/>
              </m:rPr>
              <w:rPr>
                <w:rFonts w:ascii="Cambria Math" w:hAnsi="Cambria Math" w:cstheme="majorBidi"/>
                <w:sz w:val="24"/>
                <w:szCs w:val="24"/>
              </w:rPr>
              <m:t xml:space="preserve"> </m:t>
            </m:r>
            <m:r>
              <m:rPr>
                <m:sty m:val="b"/>
              </m:rPr>
              <w:rPr>
                <w:rFonts w:ascii="Cambria Math" w:hAnsi="Cambria Math" w:cstheme="majorBidi"/>
                <w:sz w:val="24"/>
                <w:szCs w:val="24"/>
              </w:rPr>
              <m:t>ESG</m:t>
            </m:r>
            <m:r>
              <m:rPr>
                <m:sty m:val="bi"/>
              </m:rPr>
              <w:rPr>
                <w:rFonts w:ascii="Cambria Math" w:hAnsi="Cambria Math" w:cstheme="majorBidi"/>
                <w:sz w:val="24"/>
                <w:szCs w:val="24"/>
              </w:rPr>
              <m:t xml:space="preserve"> </m:t>
            </m:r>
          </m:e>
          <m:sub>
            <m:r>
              <m:rPr>
                <m:sty m:val="bi"/>
              </m:rPr>
              <w:rPr>
                <w:rFonts w:ascii="Cambria Math" w:hAnsi="Cambria Math" w:cstheme="majorBidi"/>
                <w:sz w:val="24"/>
                <w:szCs w:val="24"/>
              </w:rPr>
              <m:t>it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ind</m:t>
            </m:r>
            <m:r>
              <w:rPr>
                <w:rFonts w:ascii="Cambria Math" w:hAnsi="Cambria Math" w:cstheme="majorBidi"/>
                <w:sz w:val="24"/>
                <w:szCs w:val="24"/>
              </w:rPr>
              <m:t>,</m:t>
            </m:r>
            <m:r>
              <w:rPr>
                <w:rFonts w:ascii="Cambria Math" w:hAnsi="Cambria Math" w:cstheme="majorBidi"/>
                <w:sz w:val="24"/>
                <w:szCs w:val="24"/>
              </w:rPr>
              <m:t>y</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Issuer</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Size</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shd w:val="clear" w:color="auto" w:fill="FFFFFF"/>
          </w:rPr>
          <m:t>L</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everage</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 xml:space="preserve">3 </m:t>
            </m:r>
          </m:sub>
        </m:sSub>
        <m:r>
          <w:rPr>
            <w:rFonts w:ascii="Cambria Math" w:hAnsi="Cambria Math"/>
            <w:color w:val="000000"/>
          </w:rPr>
          <m:t>AltimaZ</m:t>
        </m:r>
        <m:r>
          <m:rPr>
            <m:sty m:val="p"/>
          </m:rPr>
          <w:rPr>
            <w:rFonts w:ascii="Cambria Math" w:hAnsi="Aptos Narrow"/>
            <w:color w:val="000000"/>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 xml:space="preserve">4 </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Big</m:t>
            </m:r>
            <m:r>
              <w:rPr>
                <w:rFonts w:ascii="Cambria Math" w:hAnsi="Cambria Math" w:cstheme="majorBidi"/>
                <w:sz w:val="24"/>
                <w:szCs w:val="24"/>
                <w:shd w:val="clear" w:color="auto" w:fill="FFFFFF"/>
              </w:rPr>
              <m:t>4</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5</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Return</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on</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Assets</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6</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ZScore</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sSub>
          <m:sSubPr>
            <m:ctrlPr>
              <w:rPr>
                <w:rFonts w:ascii="Cambria Math" w:hAnsi="Cambria Math" w:cstheme="majorBidi"/>
                <w:i/>
                <w:sz w:val="24"/>
                <w:szCs w:val="24"/>
              </w:rPr>
            </m:ctrlPr>
          </m:sSubPr>
          <m:e>
            <m:sSub>
              <m:sSubPr>
                <m:ctrlPr>
                  <w:rPr>
                    <w:rFonts w:ascii="Cambria Math" w:hAnsi="Cambria Math" w:cstheme="majorBidi"/>
                    <w:i/>
                    <w:sz w:val="24"/>
                    <w:szCs w:val="24"/>
                  </w:rPr>
                </m:ctrlPr>
              </m:sSubPr>
              <m:e>
                <m:r>
                  <w:rPr>
                    <w:rFonts w:ascii="Cambria Math" w:hAnsi="Cambria Math" w:cstheme="majorBidi"/>
                    <w:sz w:val="24"/>
                    <w:szCs w:val="24"/>
                  </w:rPr>
                  <m:t>+</m:t>
                </m:r>
                <m:r>
                  <w:rPr>
                    <w:rFonts w:ascii="Cambria Math" w:hAnsi="Cambria Math" w:cstheme="majorBidi"/>
                    <w:sz w:val="24"/>
                    <w:szCs w:val="24"/>
                  </w:rPr>
                  <m:t>α</m:t>
                </m:r>
              </m:e>
              <m:sub>
                <m:r>
                  <w:rPr>
                    <w:rFonts w:ascii="Cambria Math" w:hAnsi="Cambria Math" w:cstheme="majorBidi"/>
                    <w:sz w:val="24"/>
                    <w:szCs w:val="24"/>
                  </w:rPr>
                  <m:t>y</m:t>
                </m:r>
              </m:sub>
            </m:sSub>
            <m:r>
              <w:rPr>
                <w:rFonts w:ascii="Cambria Math" w:hAnsi="Cambria Math" w:cstheme="majorBidi"/>
                <w:sz w:val="24"/>
                <w:szCs w:val="24"/>
              </w:rPr>
              <m:t>Year</m:t>
            </m:r>
            <m:r>
              <w:rPr>
                <w:rFonts w:ascii="Cambria Math" w:hAnsi="Cambria Math" w:cstheme="majorBidi"/>
                <w:sz w:val="24"/>
                <w:szCs w:val="24"/>
              </w:rPr>
              <m:t xml:space="preserve"> </m:t>
            </m:r>
            <m:r>
              <w:rPr>
                <w:rFonts w:ascii="Cambria Math" w:hAnsi="Cambria Math" w:cstheme="majorBidi"/>
                <w:sz w:val="24"/>
                <w:szCs w:val="24"/>
              </w:rPr>
              <m:t>Effect</m:t>
            </m:r>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ind</m:t>
                </m:r>
              </m:sub>
            </m:sSub>
            <m:r>
              <w:rPr>
                <w:rFonts w:ascii="Cambria Math" w:hAnsi="Cambria Math" w:cstheme="majorBidi"/>
                <w:sz w:val="24"/>
                <w:szCs w:val="24"/>
              </w:rPr>
              <m:t>Industry</m:t>
            </m:r>
            <m:r>
              <w:rPr>
                <w:rFonts w:ascii="Cambria Math" w:hAnsi="Cambria Math" w:cstheme="majorBidi"/>
                <w:sz w:val="24"/>
                <w:szCs w:val="24"/>
              </w:rPr>
              <m:t xml:space="preserve"> </m:t>
            </m:r>
            <m:r>
              <w:rPr>
                <w:rFonts w:ascii="Cambria Math" w:hAnsi="Cambria Math" w:cstheme="majorBidi"/>
                <w:sz w:val="24"/>
                <w:szCs w:val="24"/>
              </w:rPr>
              <m:t>Effect</m:t>
            </m:r>
            <m:r>
              <w:rPr>
                <w:rFonts w:ascii="Cambria Math" w:hAnsi="Cambria Math" w:cstheme="majorBidi"/>
                <w:sz w:val="24"/>
                <w:szCs w:val="24"/>
              </w:rPr>
              <m:t>+</m:t>
            </m:r>
            <m:r>
              <w:rPr>
                <w:rFonts w:ascii="Cambria Math" w:hAnsi="Cambria Math" w:cstheme="majorBidi"/>
                <w:sz w:val="24"/>
                <w:szCs w:val="24"/>
              </w:rPr>
              <m:t>u</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oMath>
      <w:r w:rsidR="00802B8A">
        <w:rPr>
          <w:rFonts w:asciiTheme="majorBidi" w:hAnsiTheme="majorBidi" w:cstheme="majorBidi"/>
          <w:sz w:val="24"/>
          <w:szCs w:val="24"/>
        </w:rPr>
        <w:t xml:space="preserve"> </w:t>
      </w:r>
    </w:p>
    <w:p w14:paraId="6A2A0612" w14:textId="77777777" w:rsidR="00CE2A30" w:rsidRPr="0093413E" w:rsidRDefault="00CE2A30" w:rsidP="005853BF">
      <w:pPr>
        <w:widowControl/>
        <w:autoSpaceDE/>
        <w:autoSpaceDN/>
        <w:jc w:val="both"/>
        <w:rPr>
          <w:rFonts w:asciiTheme="majorBidi" w:hAnsiTheme="majorBidi" w:cstheme="majorBidi"/>
          <w:sz w:val="24"/>
          <w:szCs w:val="24"/>
          <w14:ligatures w14:val="none"/>
        </w:rPr>
      </w:pPr>
      <w:r w:rsidRPr="0093413E">
        <w:rPr>
          <w:rFonts w:asciiTheme="majorBidi" w:hAnsiTheme="majorBidi" w:cstheme="majorBidi"/>
          <w:sz w:val="24"/>
          <w:szCs w:val="24"/>
        </w:rPr>
        <w:t>Second stage</w:t>
      </w:r>
    </w:p>
    <w:p w14:paraId="6937CED5" w14:textId="77777777" w:rsidR="00CE2A30" w:rsidRPr="0093413E" w:rsidRDefault="00CE2A30" w:rsidP="005853BF">
      <w:pPr>
        <w:widowControl/>
        <w:autoSpaceDE/>
        <w:autoSpaceDN/>
        <w:jc w:val="both"/>
        <w:rPr>
          <w:rFonts w:asciiTheme="majorBidi" w:hAnsiTheme="majorBidi" w:cstheme="majorBidi"/>
          <w:sz w:val="24"/>
          <w:szCs w:val="24"/>
          <w14:ligatures w14:val="none"/>
        </w:rPr>
      </w:pPr>
      <w:r w:rsidRPr="0093413E">
        <w:rPr>
          <w:rFonts w:asciiTheme="majorBidi" w:hAnsiTheme="majorBidi" w:cstheme="majorBidi"/>
          <w:sz w:val="24"/>
          <w:szCs w:val="24"/>
          <w14:ligatures w14:val="none"/>
        </w:rPr>
        <w:t xml:space="preserve">Model 1: </w:t>
      </w:r>
    </w:p>
    <w:p w14:paraId="23A56C30" w14:textId="77777777" w:rsidR="00CE2A30" w:rsidRPr="0093413E" w:rsidRDefault="007E3599" w:rsidP="005853BF">
      <w:pPr>
        <w:adjustRightInd w:val="0"/>
        <w:jc w:val="both"/>
        <w:rPr>
          <w:rFonts w:asciiTheme="majorBidi" w:hAnsiTheme="majorBidi" w:cstheme="majorBidi"/>
          <w:sz w:val="24"/>
          <w:szCs w:val="24"/>
        </w:rPr>
      </w:p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Yeild</m:t>
            </m:r>
            <m:r>
              <m:rPr>
                <m:sty m:val="bi"/>
              </m:rPr>
              <w:rPr>
                <w:rFonts w:ascii="Cambria Math" w:hAnsi="Cambria Math" w:cstheme="majorBidi"/>
                <w:sz w:val="24"/>
                <w:szCs w:val="24"/>
              </w:rPr>
              <m:t xml:space="preserve"> </m:t>
            </m:r>
            <m:r>
              <m:rPr>
                <m:sty m:val="bi"/>
              </m:rPr>
              <w:rPr>
                <w:rFonts w:ascii="Cambria Math" w:hAnsi="Cambria Math" w:cstheme="majorBidi"/>
                <w:sz w:val="24"/>
                <w:szCs w:val="24"/>
              </w:rPr>
              <m:t>Spread</m:t>
            </m:r>
          </m:e>
          <m:sub>
            <m:r>
              <m:rPr>
                <m:sty m:val="bi"/>
              </m:rPr>
              <w:rPr>
                <w:rFonts w:ascii="Cambria Math" w:hAnsi="Cambria Math" w:cstheme="majorBidi"/>
                <w:sz w:val="24"/>
                <w:szCs w:val="24"/>
              </w:rPr>
              <m:t>it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ind</m:t>
            </m:r>
            <m:r>
              <w:rPr>
                <w:rFonts w:ascii="Cambria Math" w:hAnsi="Cambria Math" w:cstheme="majorBidi"/>
                <w:sz w:val="24"/>
                <w:szCs w:val="24"/>
              </w:rPr>
              <m:t>,</m:t>
            </m:r>
            <m:r>
              <w:rPr>
                <w:rFonts w:ascii="Cambria Math" w:hAnsi="Cambria Math" w:cstheme="majorBidi"/>
                <w:sz w:val="24"/>
                <w:szCs w:val="24"/>
              </w:rPr>
              <m:t>y</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Issuer</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Size</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shd w:val="clear" w:color="auto" w:fill="FFFFFF"/>
          </w:rPr>
          <m:t>L</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everage</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 xml:space="preserve">3 </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Big</m:t>
            </m:r>
            <m:r>
              <w:rPr>
                <w:rFonts w:ascii="Cambria Math" w:hAnsi="Cambria Math" w:cstheme="majorBidi"/>
                <w:sz w:val="24"/>
                <w:szCs w:val="24"/>
                <w:shd w:val="clear" w:color="auto" w:fill="FFFFFF"/>
              </w:rPr>
              <m:t>4</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4</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Return</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on</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Assets</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5</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ESG</m:t>
            </m:r>
            <m:r>
              <w:rPr>
                <w:rFonts w:ascii="Cambria Math" w:hAnsi="Cambria Math" w:cstheme="majorBidi"/>
                <w:sz w:val="24"/>
                <w:szCs w:val="24"/>
              </w:rPr>
              <m:t xml:space="preserve"> </m:t>
            </m:r>
            <m:r>
              <w:rPr>
                <w:rFonts w:ascii="Cambria Math" w:hAnsi="Cambria Math" w:cstheme="majorBidi"/>
                <w:sz w:val="24"/>
                <w:szCs w:val="24"/>
              </w:rPr>
              <m:t>Score</m:t>
            </m:r>
            <m:r>
              <w:rPr>
                <w:rFonts w:ascii="Cambria Math" w:hAnsi="Cambria Math" w:cstheme="majorBidi"/>
                <w:sz w:val="24"/>
                <w:szCs w:val="24"/>
              </w:rPr>
              <m:t xml:space="preserve"> </m:t>
            </m:r>
            <m:r>
              <w:rPr>
                <w:rFonts w:ascii="Cambria Math" w:hAnsi="Cambria Math" w:cstheme="majorBidi"/>
                <w:sz w:val="24"/>
                <w:szCs w:val="24"/>
              </w:rPr>
              <m:t>or</m:t>
            </m:r>
            <m:r>
              <w:rPr>
                <w:rFonts w:ascii="Cambria Math" w:hAnsi="Cambria Math" w:cstheme="majorBidi"/>
                <w:sz w:val="24"/>
                <w:szCs w:val="24"/>
              </w:rPr>
              <m:t xml:space="preserve"> </m:t>
            </m:r>
            <m:r>
              <w:rPr>
                <w:rFonts w:ascii="Cambria Math" w:hAnsi="Cambria Math" w:cstheme="majorBidi"/>
                <w:sz w:val="24"/>
                <w:szCs w:val="24"/>
              </w:rPr>
              <m:t>Pillar</m:t>
            </m:r>
            <m:r>
              <w:rPr>
                <w:rFonts w:ascii="Cambria Math" w:hAnsi="Cambria Math" w:cstheme="majorBidi"/>
                <w:sz w:val="24"/>
                <w:szCs w:val="24"/>
              </w:rPr>
              <m:t xml:space="preserve"> )</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6</m:t>
            </m:r>
          </m:sub>
        </m:sSub>
        <m:sSub>
          <m:sSubPr>
            <m:ctrlPr>
              <w:rPr>
                <w:rFonts w:ascii="Cambria Math" w:hAnsi="Cambria Math" w:cstheme="majorBidi"/>
                <w:i/>
                <w:sz w:val="24"/>
                <w:szCs w:val="24"/>
              </w:rPr>
            </m:ctrlPr>
          </m:sSubPr>
          <m:e>
            <m:r>
              <w:rPr>
                <w:rFonts w:ascii="Cambria Math" w:hAnsi="Cambria Math" w:cstheme="majorBidi"/>
                <w:sz w:val="24"/>
                <w:szCs w:val="24"/>
              </w:rPr>
              <m:t>Mood</m:t>
            </m:r>
            <m:sSup>
              <m:sSupPr>
                <m:ctrlPr>
                  <w:rPr>
                    <w:rFonts w:ascii="Cambria Math" w:hAnsi="Cambria Math" w:cstheme="majorBidi"/>
                    <w:i/>
                    <w:sz w:val="24"/>
                    <w:szCs w:val="24"/>
                  </w:rPr>
                </m:ctrlPr>
              </m:sSupPr>
              <m:e>
                <m:r>
                  <w:rPr>
                    <w:rFonts w:ascii="Cambria Math" w:hAnsi="Cambria Math" w:cstheme="majorBidi"/>
                    <w:sz w:val="24"/>
                    <w:szCs w:val="24"/>
                  </w:rPr>
                  <m:t>y</m:t>
                </m:r>
              </m:e>
              <m:sup>
                <m:r>
                  <w:rPr>
                    <w:rFonts w:ascii="Cambria Math" w:hAnsi="Cambria Math" w:cstheme="majorBidi"/>
                    <w:sz w:val="24"/>
                    <w:szCs w:val="24"/>
                  </w:rPr>
                  <m:t>'</m:t>
                </m:r>
              </m:sup>
            </m:sSup>
            <m:r>
              <w:rPr>
                <w:rFonts w:ascii="Cambria Math" w:hAnsi="Cambria Math" w:cstheme="majorBidi"/>
                <w:sz w:val="24"/>
                <w:szCs w:val="24"/>
              </w:rPr>
              <m:t>s</m:t>
            </m:r>
            <m:r>
              <w:rPr>
                <w:rFonts w:ascii="Cambria Math" w:hAnsi="Cambria Math" w:cstheme="majorBidi"/>
                <w:sz w:val="24"/>
                <w:szCs w:val="24"/>
              </w:rPr>
              <m:t xml:space="preserve"> </m:t>
            </m:r>
            <m:r>
              <w:rPr>
                <w:rFonts w:ascii="Cambria Math" w:hAnsi="Cambria Math" w:cstheme="majorBidi"/>
                <w:sz w:val="24"/>
                <w:szCs w:val="24"/>
              </w:rPr>
              <m:t>Rating</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7</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Maturity</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8</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Duration</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sub>
        </m:sSub>
        <m:sSub>
          <m:sSubPr>
            <m:ctrlPr>
              <w:rPr>
                <w:rFonts w:ascii="Cambria Math" w:hAnsi="Cambria Math" w:cstheme="majorBidi"/>
                <w:i/>
                <w:sz w:val="24"/>
                <w:szCs w:val="24"/>
              </w:rPr>
            </m:ctrlPr>
          </m:sSubPr>
          <m:e>
            <m:r>
              <w:rPr>
                <w:rFonts w:ascii="Cambria Math" w:hAnsi="Cambria Math" w:cstheme="majorBidi"/>
                <w:sz w:val="24"/>
                <w:szCs w:val="24"/>
              </w:rPr>
              <m:t>+</m:t>
            </m:r>
            <m:r>
              <w:rPr>
                <w:rFonts w:ascii="Cambria Math" w:hAnsi="Cambria Math" w:cstheme="majorBidi"/>
                <w:sz w:val="24"/>
                <w:szCs w:val="24"/>
              </w:rPr>
              <m:t>β</m:t>
            </m:r>
          </m:e>
          <m:sub>
            <m:r>
              <w:rPr>
                <w:rFonts w:ascii="Cambria Math" w:hAnsi="Cambria Math" w:cstheme="majorBidi"/>
                <w:sz w:val="24"/>
                <w:szCs w:val="24"/>
              </w:rPr>
              <m:t>9</m:t>
            </m:r>
          </m:sub>
        </m:sSub>
        <m:sSub>
          <m:sSubPr>
            <m:ctrlPr>
              <w:rPr>
                <w:rFonts w:ascii="Cambria Math" w:hAnsi="Cambria Math" w:cstheme="majorBidi"/>
                <w:i/>
                <w:sz w:val="24"/>
                <w:szCs w:val="24"/>
              </w:rPr>
            </m:ctrlPr>
          </m:sSubPr>
          <m:e>
            <m:r>
              <w:rPr>
                <w:rFonts w:ascii="Cambria Math" w:hAnsi="Cambria Math" w:cstheme="majorBidi"/>
                <w:sz w:val="24"/>
                <w:szCs w:val="24"/>
              </w:rPr>
              <m:t>Issue</m:t>
            </m:r>
            <m:r>
              <w:rPr>
                <w:rFonts w:ascii="Cambria Math" w:hAnsi="Cambria Math" w:cstheme="majorBidi"/>
                <w:sz w:val="24"/>
                <w:szCs w:val="24"/>
              </w:rPr>
              <m:t xml:space="preserve"> </m:t>
            </m:r>
            <m:r>
              <w:rPr>
                <w:rFonts w:ascii="Cambria Math" w:hAnsi="Cambria Math" w:cstheme="majorBidi"/>
                <w:sz w:val="24"/>
                <w:szCs w:val="24"/>
              </w:rPr>
              <m:t>Relative</m:t>
            </m:r>
            <m:r>
              <w:rPr>
                <w:rFonts w:ascii="Cambria Math" w:hAnsi="Cambria Math" w:cstheme="majorBidi"/>
                <w:sz w:val="24"/>
                <w:szCs w:val="24"/>
              </w:rPr>
              <m:t xml:space="preserve"> </m:t>
            </m:r>
            <m:r>
              <w:rPr>
                <w:rFonts w:ascii="Cambria Math" w:hAnsi="Cambria Math" w:cstheme="majorBidi"/>
                <w:sz w:val="24"/>
                <w:szCs w:val="24"/>
              </w:rPr>
              <m:t>Size</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sSub>
          <m:sSubPr>
            <m:ctrlPr>
              <w:rPr>
                <w:rFonts w:ascii="Cambria Math" w:hAnsi="Cambria Math" w:cstheme="majorBidi"/>
                <w:i/>
                <w:sz w:val="24"/>
                <w:szCs w:val="24"/>
              </w:rPr>
            </m:ctrlPr>
          </m:sSubPr>
          <m:e>
            <m:sSub>
              <m:sSubPr>
                <m:ctrlPr>
                  <w:rPr>
                    <w:rFonts w:ascii="Cambria Math" w:hAnsi="Cambria Math" w:cstheme="majorBidi"/>
                    <w:i/>
                    <w:sz w:val="24"/>
                    <w:szCs w:val="24"/>
                  </w:rPr>
                </m:ctrlPr>
              </m:sSubPr>
              <m:e>
                <m:r>
                  <w:rPr>
                    <w:rFonts w:ascii="Cambria Math" w:hAnsi="Cambria Math" w:cstheme="majorBidi"/>
                    <w:sz w:val="24"/>
                    <w:szCs w:val="24"/>
                  </w:rPr>
                  <m:t>+</m:t>
                </m:r>
                <m:r>
                  <w:rPr>
                    <w:rFonts w:ascii="Cambria Math" w:hAnsi="Cambria Math" w:cstheme="majorBidi"/>
                    <w:sz w:val="24"/>
                    <w:szCs w:val="24"/>
                  </w:rPr>
                  <m:t>α</m:t>
                </m:r>
              </m:e>
              <m:sub>
                <m:r>
                  <w:rPr>
                    <w:rFonts w:ascii="Cambria Math" w:hAnsi="Cambria Math" w:cstheme="majorBidi"/>
                    <w:sz w:val="24"/>
                    <w:szCs w:val="24"/>
                  </w:rPr>
                  <m:t>y</m:t>
                </m:r>
              </m:sub>
            </m:sSub>
            <m:r>
              <w:rPr>
                <w:rFonts w:ascii="Cambria Math" w:hAnsi="Cambria Math" w:cstheme="majorBidi"/>
                <w:sz w:val="24"/>
                <w:szCs w:val="24"/>
              </w:rPr>
              <m:t>Year</m:t>
            </m:r>
            <m:r>
              <w:rPr>
                <w:rFonts w:ascii="Cambria Math" w:hAnsi="Cambria Math" w:cstheme="majorBidi"/>
                <w:sz w:val="24"/>
                <w:szCs w:val="24"/>
              </w:rPr>
              <m:t xml:space="preserve"> </m:t>
            </m:r>
            <m:r>
              <w:rPr>
                <w:rFonts w:ascii="Cambria Math" w:hAnsi="Cambria Math" w:cstheme="majorBidi"/>
                <w:sz w:val="24"/>
                <w:szCs w:val="24"/>
              </w:rPr>
              <m:t>Effect</m:t>
            </m:r>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ind</m:t>
                </m:r>
              </m:sub>
            </m:sSub>
            <m:r>
              <w:rPr>
                <w:rFonts w:ascii="Cambria Math" w:hAnsi="Cambria Math" w:cstheme="majorBidi"/>
                <w:sz w:val="24"/>
                <w:szCs w:val="24"/>
              </w:rPr>
              <m:t>Industry</m:t>
            </m:r>
            <m:r>
              <w:rPr>
                <w:rFonts w:ascii="Cambria Math" w:hAnsi="Cambria Math" w:cstheme="majorBidi"/>
                <w:sz w:val="24"/>
                <w:szCs w:val="24"/>
              </w:rPr>
              <m:t xml:space="preserve"> </m:t>
            </m:r>
            <m:r>
              <w:rPr>
                <w:rFonts w:ascii="Cambria Math" w:hAnsi="Cambria Math" w:cstheme="majorBidi"/>
                <w:sz w:val="24"/>
                <w:szCs w:val="24"/>
              </w:rPr>
              <m:t>Effect</m:t>
            </m:r>
            <m:r>
              <w:rPr>
                <w:rFonts w:ascii="Cambria Math" w:hAnsi="Cambria Math" w:cstheme="majorBidi"/>
                <w:sz w:val="24"/>
                <w:szCs w:val="24"/>
              </w:rPr>
              <m:t>+</m:t>
            </m:r>
            <m:r>
              <w:rPr>
                <w:rFonts w:ascii="Cambria Math" w:hAnsi="Cambria Math" w:cstheme="majorBidi"/>
                <w:sz w:val="24"/>
                <w:szCs w:val="24"/>
              </w:rPr>
              <m:t>λ</m:t>
            </m:r>
            <m:sSup>
              <m:sSupPr>
                <m:ctrlPr>
                  <w:rPr>
                    <w:rFonts w:ascii="Cambria Math" w:hAnsi="Cambria Math" w:cstheme="majorBidi"/>
                    <w:color w:val="000000"/>
                    <w:sz w:val="24"/>
                    <w:szCs w:val="24"/>
                  </w:rPr>
                </m:ctrlPr>
              </m:sSupPr>
              <m:e>
                <m:r>
                  <m:rPr>
                    <m:sty m:val="p"/>
                  </m:rPr>
                  <w:rPr>
                    <w:rFonts w:ascii="Cambria Math" w:hAnsi="Cambria Math" w:cstheme="majorBidi"/>
                    <w:color w:val="000000"/>
                    <w:sz w:val="24"/>
                    <w:szCs w:val="24"/>
                  </w:rPr>
                  <m:t>Mill</m:t>
                </m:r>
              </m:e>
              <m:sup>
                <m:r>
                  <m:rPr>
                    <m:sty m:val="p"/>
                  </m:rPr>
                  <w:rPr>
                    <w:rFonts w:ascii="Cambria Math" w:hAnsi="Cambria Math" w:cstheme="majorBidi"/>
                    <w:color w:val="000000"/>
                    <w:sz w:val="24"/>
                    <w:szCs w:val="24"/>
                  </w:rPr>
                  <m:t>'</m:t>
                </m:r>
              </m:sup>
            </m:sSup>
            <m:r>
              <m:rPr>
                <m:sty m:val="p"/>
              </m:rPr>
              <w:rPr>
                <w:rFonts w:ascii="Cambria Math" w:hAnsi="Cambria Math" w:cstheme="majorBidi"/>
                <w:color w:val="000000"/>
                <w:sz w:val="24"/>
                <w:szCs w:val="24"/>
              </w:rPr>
              <m:t>s ratio+</m:t>
            </m:r>
            <m:r>
              <w:rPr>
                <w:rFonts w:ascii="Cambria Math" w:hAnsi="Cambria Math" w:cstheme="majorBidi"/>
                <w:sz w:val="24"/>
                <w:szCs w:val="24"/>
              </w:rPr>
              <m:t>ε</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r>
          <w:rPr>
            <w:rFonts w:ascii="Cambria Math" w:hAnsi="Cambria Math" w:cstheme="majorBidi"/>
            <w:sz w:val="24"/>
            <w:szCs w:val="24"/>
          </w:rPr>
          <m:t xml:space="preserve">     , </m:t>
        </m:r>
        <m:r>
          <w:rPr>
            <w:rFonts w:ascii="Cambria Math" w:hAnsi="Cambria Math" w:cstheme="majorBidi"/>
            <w:sz w:val="24"/>
            <w:szCs w:val="24"/>
          </w:rPr>
          <m:t>If</m:t>
        </m:r>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Reported</m:t>
            </m:r>
            <m:r>
              <w:rPr>
                <w:rFonts w:ascii="Cambria Math" w:hAnsi="Cambria Math" w:cstheme="majorBidi"/>
                <w:sz w:val="24"/>
                <w:szCs w:val="24"/>
              </w:rPr>
              <m:t xml:space="preserve"> </m:t>
            </m:r>
            <m:r>
              <m:rPr>
                <m:sty m:val="p"/>
              </m:rPr>
              <w:rPr>
                <w:rFonts w:ascii="Cambria Math" w:hAnsi="Cambria Math" w:cstheme="majorBidi"/>
                <w:sz w:val="24"/>
                <w:szCs w:val="24"/>
              </w:rPr>
              <m:t>ESG</m:t>
            </m:r>
            <m:r>
              <w:rPr>
                <w:rFonts w:ascii="Cambria Math" w:hAnsi="Cambria Math" w:cstheme="majorBidi"/>
                <w:sz w:val="24"/>
                <w:szCs w:val="24"/>
              </w:rPr>
              <m:t xml:space="preserve"> </m:t>
            </m:r>
          </m:e>
          <m:sub>
            <m:r>
              <w:rPr>
                <w:rFonts w:ascii="Cambria Math" w:hAnsi="Cambria Math" w:cstheme="majorBidi"/>
                <w:sz w:val="24"/>
                <w:szCs w:val="24"/>
              </w:rPr>
              <m:t>it</m:t>
            </m:r>
          </m:sub>
        </m:sSub>
        <m:r>
          <w:rPr>
            <w:rFonts w:ascii="Cambria Math" w:hAnsi="Cambria Math" w:cstheme="majorBidi"/>
            <w:sz w:val="24"/>
            <w:szCs w:val="24"/>
          </w:rPr>
          <m:t>&gt;0</m:t>
        </m:r>
      </m:oMath>
      <w:r w:rsidR="00CE2A30" w:rsidRPr="0093413E">
        <w:rPr>
          <w:rFonts w:asciiTheme="majorBidi" w:hAnsiTheme="majorBidi" w:cstheme="majorBidi"/>
          <w:sz w:val="24"/>
          <w:szCs w:val="24"/>
        </w:rPr>
        <w:t xml:space="preserve"> </w:t>
      </w:r>
    </w:p>
    <w:p w14:paraId="1C342EDA" w14:textId="77777777" w:rsidR="00CE2A30" w:rsidRPr="0093413E" w:rsidRDefault="00CE2A30" w:rsidP="005853BF">
      <w:pPr>
        <w:widowControl/>
        <w:autoSpaceDE/>
        <w:autoSpaceDN/>
        <w:jc w:val="both"/>
        <w:rPr>
          <w:rFonts w:asciiTheme="majorBidi" w:hAnsiTheme="majorBidi" w:cstheme="majorBidi"/>
          <w:sz w:val="24"/>
          <w:szCs w:val="24"/>
          <w14:ligatures w14:val="none"/>
        </w:rPr>
      </w:pPr>
      <w:r w:rsidRPr="0093413E">
        <w:rPr>
          <w:rFonts w:asciiTheme="majorBidi" w:hAnsiTheme="majorBidi" w:cstheme="majorBidi"/>
          <w:sz w:val="24"/>
          <w:szCs w:val="24"/>
          <w14:ligatures w14:val="none"/>
        </w:rPr>
        <w:t xml:space="preserve">Model 2: </w:t>
      </w:r>
    </w:p>
    <w:p w14:paraId="36CE1644" w14:textId="77777777" w:rsidR="00CE2A30" w:rsidRPr="0093413E" w:rsidRDefault="007E3599" w:rsidP="005853BF">
      <w:pPr>
        <w:adjustRightInd w:val="0"/>
        <w:jc w:val="both"/>
        <w:rPr>
          <w:rFonts w:asciiTheme="majorBidi" w:hAnsiTheme="majorBidi" w:cstheme="majorBidi"/>
          <w:sz w:val="24"/>
          <w:szCs w:val="24"/>
        </w:rPr>
      </w:p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Bond</m:t>
            </m:r>
            <m:r>
              <m:rPr>
                <m:sty m:val="bi"/>
              </m:rPr>
              <w:rPr>
                <w:rFonts w:ascii="Cambria Math" w:hAnsi="Cambria Math" w:cstheme="majorBidi"/>
                <w:sz w:val="24"/>
                <w:szCs w:val="24"/>
              </w:rPr>
              <m:t xml:space="preserve"> </m:t>
            </m:r>
            <m:r>
              <m:rPr>
                <m:sty m:val="bi"/>
              </m:rPr>
              <w:rPr>
                <w:rFonts w:ascii="Cambria Math" w:hAnsi="Cambria Math" w:cstheme="majorBidi"/>
                <w:sz w:val="24"/>
                <w:szCs w:val="24"/>
              </w:rPr>
              <m:t>Rating</m:t>
            </m:r>
          </m:e>
          <m:sub>
            <m:r>
              <m:rPr>
                <m:sty m:val="bi"/>
              </m:rPr>
              <w:rPr>
                <w:rFonts w:ascii="Cambria Math" w:hAnsi="Cambria Math" w:cstheme="majorBidi"/>
                <w:sz w:val="24"/>
                <w:szCs w:val="24"/>
              </w:rPr>
              <m:t>it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ind</m:t>
            </m:r>
            <m:r>
              <w:rPr>
                <w:rFonts w:ascii="Cambria Math" w:hAnsi="Cambria Math" w:cstheme="majorBidi"/>
                <w:sz w:val="24"/>
                <w:szCs w:val="24"/>
              </w:rPr>
              <m:t>,</m:t>
            </m:r>
            <m:r>
              <w:rPr>
                <w:rFonts w:ascii="Cambria Math" w:hAnsi="Cambria Math" w:cstheme="majorBidi"/>
                <w:sz w:val="24"/>
                <w:szCs w:val="24"/>
              </w:rPr>
              <m:t>y</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Issuer</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Size</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shd w:val="clear" w:color="auto" w:fill="FFFFFF"/>
          </w:rPr>
          <m:t>L</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everage</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 xml:space="preserve">3 </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Big</m:t>
            </m:r>
            <m:r>
              <w:rPr>
                <w:rFonts w:ascii="Cambria Math" w:hAnsi="Cambria Math" w:cstheme="majorBidi"/>
                <w:sz w:val="24"/>
                <w:szCs w:val="24"/>
                <w:shd w:val="clear" w:color="auto" w:fill="FFFFFF"/>
              </w:rPr>
              <m:t>4</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4</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Return</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on</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Assets</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5</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ESG</m:t>
            </m:r>
            <m:r>
              <w:rPr>
                <w:rFonts w:ascii="Cambria Math" w:hAnsi="Cambria Math" w:cstheme="majorBidi"/>
                <w:sz w:val="24"/>
                <w:szCs w:val="24"/>
              </w:rPr>
              <m:t xml:space="preserve"> </m:t>
            </m:r>
            <m:r>
              <w:rPr>
                <w:rFonts w:ascii="Cambria Math" w:hAnsi="Cambria Math" w:cstheme="majorBidi"/>
                <w:sz w:val="24"/>
                <w:szCs w:val="24"/>
              </w:rPr>
              <m:t>Score</m:t>
            </m:r>
            <m:r>
              <w:rPr>
                <w:rFonts w:ascii="Cambria Math" w:hAnsi="Cambria Math" w:cstheme="majorBidi"/>
                <w:sz w:val="24"/>
                <w:szCs w:val="24"/>
              </w:rPr>
              <m:t xml:space="preserve"> </m:t>
            </m:r>
            <m:r>
              <w:rPr>
                <w:rFonts w:ascii="Cambria Math" w:hAnsi="Cambria Math" w:cstheme="majorBidi"/>
                <w:sz w:val="24"/>
                <w:szCs w:val="24"/>
              </w:rPr>
              <m:t>or</m:t>
            </m:r>
            <m:r>
              <w:rPr>
                <w:rFonts w:ascii="Cambria Math" w:hAnsi="Cambria Math" w:cstheme="majorBidi"/>
                <w:sz w:val="24"/>
                <w:szCs w:val="24"/>
              </w:rPr>
              <m:t xml:space="preserve"> </m:t>
            </m:r>
            <m:r>
              <w:rPr>
                <w:rFonts w:ascii="Cambria Math" w:hAnsi="Cambria Math" w:cstheme="majorBidi"/>
                <w:sz w:val="24"/>
                <w:szCs w:val="24"/>
              </w:rPr>
              <m:t>Pillar</m:t>
            </m:r>
            <m:r>
              <w:rPr>
                <w:rFonts w:ascii="Cambria Math" w:hAnsi="Cambria Math" w:cstheme="majorBidi"/>
                <w:sz w:val="24"/>
                <w:szCs w:val="24"/>
              </w:rPr>
              <m:t xml:space="preserve"> )</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6</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Maturity</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7</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Duration</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sub>
        </m:sSub>
        <m:sSub>
          <m:sSubPr>
            <m:ctrlPr>
              <w:rPr>
                <w:rFonts w:ascii="Cambria Math" w:hAnsi="Cambria Math" w:cstheme="majorBidi"/>
                <w:i/>
                <w:sz w:val="24"/>
                <w:szCs w:val="24"/>
              </w:rPr>
            </m:ctrlPr>
          </m:sSubPr>
          <m:e>
            <m:r>
              <w:rPr>
                <w:rFonts w:ascii="Cambria Math" w:hAnsi="Cambria Math" w:cstheme="majorBidi"/>
                <w:sz w:val="24"/>
                <w:szCs w:val="24"/>
              </w:rPr>
              <m:t>+</m:t>
            </m:r>
            <m:r>
              <w:rPr>
                <w:rFonts w:ascii="Cambria Math" w:hAnsi="Cambria Math" w:cstheme="majorBidi"/>
                <w:sz w:val="24"/>
                <w:szCs w:val="24"/>
              </w:rPr>
              <m:t>β</m:t>
            </m:r>
          </m:e>
          <m:sub>
            <m:r>
              <w:rPr>
                <w:rFonts w:ascii="Cambria Math" w:hAnsi="Cambria Math" w:cstheme="majorBidi"/>
                <w:sz w:val="24"/>
                <w:szCs w:val="24"/>
              </w:rPr>
              <m:t>8</m:t>
            </m:r>
          </m:sub>
        </m:sSub>
        <m:sSub>
          <m:sSubPr>
            <m:ctrlPr>
              <w:rPr>
                <w:rFonts w:ascii="Cambria Math" w:hAnsi="Cambria Math" w:cstheme="majorBidi"/>
                <w:i/>
                <w:sz w:val="24"/>
                <w:szCs w:val="24"/>
              </w:rPr>
            </m:ctrlPr>
          </m:sSubPr>
          <m:e>
            <m:r>
              <w:rPr>
                <w:rFonts w:ascii="Cambria Math" w:hAnsi="Cambria Math" w:cstheme="majorBidi"/>
                <w:sz w:val="24"/>
                <w:szCs w:val="24"/>
              </w:rPr>
              <m:t>Issue</m:t>
            </m:r>
            <m:r>
              <w:rPr>
                <w:rFonts w:ascii="Cambria Math" w:hAnsi="Cambria Math" w:cstheme="majorBidi"/>
                <w:sz w:val="24"/>
                <w:szCs w:val="24"/>
              </w:rPr>
              <m:t xml:space="preserve"> </m:t>
            </m:r>
            <m:r>
              <w:rPr>
                <w:rFonts w:ascii="Cambria Math" w:hAnsi="Cambria Math" w:cstheme="majorBidi"/>
                <w:sz w:val="24"/>
                <w:szCs w:val="24"/>
              </w:rPr>
              <m:t>Relative</m:t>
            </m:r>
            <m:r>
              <w:rPr>
                <w:rFonts w:ascii="Cambria Math" w:hAnsi="Cambria Math" w:cstheme="majorBidi"/>
                <w:sz w:val="24"/>
                <w:szCs w:val="24"/>
              </w:rPr>
              <m:t xml:space="preserve"> </m:t>
            </m:r>
            <m:r>
              <w:rPr>
                <w:rFonts w:ascii="Cambria Math" w:hAnsi="Cambria Math" w:cstheme="majorBidi"/>
                <w:sz w:val="24"/>
                <w:szCs w:val="24"/>
              </w:rPr>
              <m:t>Size</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sSub>
          <m:sSubPr>
            <m:ctrlPr>
              <w:rPr>
                <w:rFonts w:ascii="Cambria Math" w:hAnsi="Cambria Math" w:cstheme="majorBidi"/>
                <w:i/>
                <w:sz w:val="24"/>
                <w:szCs w:val="24"/>
              </w:rPr>
            </m:ctrlPr>
          </m:sSubPr>
          <m:e>
            <m:sSub>
              <m:sSubPr>
                <m:ctrlPr>
                  <w:rPr>
                    <w:rFonts w:ascii="Cambria Math" w:hAnsi="Cambria Math" w:cstheme="majorBidi"/>
                    <w:i/>
                    <w:sz w:val="24"/>
                    <w:szCs w:val="24"/>
                  </w:rPr>
                </m:ctrlPr>
              </m:sSubPr>
              <m:e>
                <m:r>
                  <w:rPr>
                    <w:rFonts w:ascii="Cambria Math" w:hAnsi="Cambria Math" w:cstheme="majorBidi"/>
                    <w:sz w:val="24"/>
                    <w:szCs w:val="24"/>
                  </w:rPr>
                  <m:t>+</m:t>
                </m:r>
                <m:r>
                  <w:rPr>
                    <w:rFonts w:ascii="Cambria Math" w:hAnsi="Cambria Math" w:cstheme="majorBidi"/>
                    <w:sz w:val="24"/>
                    <w:szCs w:val="24"/>
                  </w:rPr>
                  <m:t>α</m:t>
                </m:r>
              </m:e>
              <m:sub>
                <m:r>
                  <w:rPr>
                    <w:rFonts w:ascii="Cambria Math" w:hAnsi="Cambria Math" w:cstheme="majorBidi"/>
                    <w:sz w:val="24"/>
                    <w:szCs w:val="24"/>
                  </w:rPr>
                  <m:t>y</m:t>
                </m:r>
              </m:sub>
            </m:sSub>
            <m:r>
              <w:rPr>
                <w:rFonts w:ascii="Cambria Math" w:hAnsi="Cambria Math" w:cstheme="majorBidi"/>
                <w:sz w:val="24"/>
                <w:szCs w:val="24"/>
              </w:rPr>
              <m:t>Year</m:t>
            </m:r>
            <m:r>
              <w:rPr>
                <w:rFonts w:ascii="Cambria Math" w:hAnsi="Cambria Math" w:cstheme="majorBidi"/>
                <w:sz w:val="24"/>
                <w:szCs w:val="24"/>
              </w:rPr>
              <m:t xml:space="preserve"> </m:t>
            </m:r>
            <m:r>
              <w:rPr>
                <w:rFonts w:ascii="Cambria Math" w:hAnsi="Cambria Math" w:cstheme="majorBidi"/>
                <w:sz w:val="24"/>
                <w:szCs w:val="24"/>
              </w:rPr>
              <m:t>Effect</m:t>
            </m:r>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ind</m:t>
                </m:r>
              </m:sub>
            </m:sSub>
            <m:r>
              <w:rPr>
                <w:rFonts w:ascii="Cambria Math" w:hAnsi="Cambria Math" w:cstheme="majorBidi"/>
                <w:sz w:val="24"/>
                <w:szCs w:val="24"/>
              </w:rPr>
              <m:t>Industry</m:t>
            </m:r>
            <m:r>
              <w:rPr>
                <w:rFonts w:ascii="Cambria Math" w:hAnsi="Cambria Math" w:cstheme="majorBidi"/>
                <w:sz w:val="24"/>
                <w:szCs w:val="24"/>
              </w:rPr>
              <m:t xml:space="preserve"> </m:t>
            </m:r>
            <m:r>
              <w:rPr>
                <w:rFonts w:ascii="Cambria Math" w:hAnsi="Cambria Math" w:cstheme="majorBidi"/>
                <w:sz w:val="24"/>
                <w:szCs w:val="24"/>
              </w:rPr>
              <m:t>Effect</m:t>
            </m:r>
            <m:r>
              <w:rPr>
                <w:rFonts w:ascii="Cambria Math" w:hAnsi="Cambria Math" w:cstheme="majorBidi"/>
                <w:sz w:val="24"/>
                <w:szCs w:val="24"/>
              </w:rPr>
              <m:t>+</m:t>
            </m:r>
            <m:r>
              <w:rPr>
                <w:rFonts w:ascii="Cambria Math" w:hAnsi="Cambria Math" w:cstheme="majorBidi"/>
                <w:sz w:val="24"/>
                <w:szCs w:val="24"/>
              </w:rPr>
              <m:t>λ</m:t>
            </m:r>
            <m:sSup>
              <m:sSupPr>
                <m:ctrlPr>
                  <w:rPr>
                    <w:rFonts w:ascii="Cambria Math" w:hAnsi="Cambria Math" w:cstheme="majorBidi"/>
                    <w:color w:val="000000"/>
                    <w:sz w:val="24"/>
                    <w:szCs w:val="24"/>
                  </w:rPr>
                </m:ctrlPr>
              </m:sSupPr>
              <m:e>
                <m:r>
                  <m:rPr>
                    <m:sty m:val="p"/>
                  </m:rPr>
                  <w:rPr>
                    <w:rFonts w:ascii="Cambria Math" w:hAnsi="Cambria Math" w:cstheme="majorBidi"/>
                    <w:color w:val="000000"/>
                    <w:sz w:val="24"/>
                    <w:szCs w:val="24"/>
                  </w:rPr>
                  <m:t>Mill</m:t>
                </m:r>
              </m:e>
              <m:sup>
                <m:r>
                  <m:rPr>
                    <m:sty m:val="p"/>
                  </m:rPr>
                  <w:rPr>
                    <w:rFonts w:ascii="Cambria Math" w:hAnsi="Cambria Math" w:cstheme="majorBidi"/>
                    <w:color w:val="000000"/>
                    <w:sz w:val="24"/>
                    <w:szCs w:val="24"/>
                  </w:rPr>
                  <m:t>'</m:t>
                </m:r>
              </m:sup>
            </m:sSup>
            <m:r>
              <m:rPr>
                <m:sty m:val="p"/>
              </m:rPr>
              <w:rPr>
                <w:rFonts w:ascii="Cambria Math" w:hAnsi="Cambria Math" w:cstheme="majorBidi"/>
                <w:color w:val="000000"/>
                <w:sz w:val="24"/>
                <w:szCs w:val="24"/>
              </w:rPr>
              <m:t>s ratio+</m:t>
            </m:r>
            <m:r>
              <w:rPr>
                <w:rFonts w:ascii="Cambria Math" w:hAnsi="Cambria Math" w:cstheme="majorBidi"/>
                <w:sz w:val="24"/>
                <w:szCs w:val="24"/>
              </w:rPr>
              <m:t>ε</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r>
          <w:rPr>
            <w:rFonts w:ascii="Cambria Math" w:hAnsi="Cambria Math" w:cstheme="majorBidi"/>
            <w:sz w:val="24"/>
            <w:szCs w:val="24"/>
          </w:rPr>
          <m:t xml:space="preserve">    , </m:t>
        </m:r>
        <m:r>
          <w:rPr>
            <w:rFonts w:ascii="Cambria Math" w:hAnsi="Cambria Math" w:cstheme="majorBidi"/>
            <w:sz w:val="24"/>
            <w:szCs w:val="24"/>
          </w:rPr>
          <m:t>If</m:t>
        </m:r>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Reported</m:t>
            </m:r>
            <m:r>
              <w:rPr>
                <w:rFonts w:ascii="Cambria Math" w:hAnsi="Cambria Math" w:cstheme="majorBidi"/>
                <w:sz w:val="24"/>
                <w:szCs w:val="24"/>
              </w:rPr>
              <m:t xml:space="preserve"> </m:t>
            </m:r>
            <m:r>
              <m:rPr>
                <m:sty m:val="p"/>
              </m:rPr>
              <w:rPr>
                <w:rFonts w:ascii="Cambria Math" w:hAnsi="Cambria Math" w:cstheme="majorBidi"/>
                <w:sz w:val="24"/>
                <w:szCs w:val="24"/>
              </w:rPr>
              <m:t>ESG</m:t>
            </m:r>
            <m:r>
              <w:rPr>
                <w:rFonts w:ascii="Cambria Math" w:hAnsi="Cambria Math" w:cstheme="majorBidi"/>
                <w:sz w:val="24"/>
                <w:szCs w:val="24"/>
              </w:rPr>
              <m:t xml:space="preserve"> </m:t>
            </m:r>
          </m:e>
          <m:sub>
            <m:r>
              <w:rPr>
                <w:rFonts w:ascii="Cambria Math" w:hAnsi="Cambria Math" w:cstheme="majorBidi"/>
                <w:sz w:val="24"/>
                <w:szCs w:val="24"/>
              </w:rPr>
              <m:t>it</m:t>
            </m:r>
          </m:sub>
        </m:sSub>
        <m:r>
          <w:rPr>
            <w:rFonts w:ascii="Cambria Math" w:hAnsi="Cambria Math" w:cstheme="majorBidi"/>
            <w:sz w:val="24"/>
            <w:szCs w:val="24"/>
          </w:rPr>
          <m:t>&gt;0</m:t>
        </m:r>
      </m:oMath>
      <w:r w:rsidR="00CE2A30" w:rsidRPr="0093413E">
        <w:rPr>
          <w:rFonts w:asciiTheme="majorBidi" w:hAnsiTheme="majorBidi" w:cstheme="majorBidi"/>
          <w:sz w:val="24"/>
          <w:szCs w:val="24"/>
        </w:rPr>
        <w:t xml:space="preserve"> </w:t>
      </w:r>
    </w:p>
    <w:p w14:paraId="1B38F5E3" w14:textId="77777777" w:rsidR="00CE2A30" w:rsidRPr="0093413E" w:rsidRDefault="00CE2A30" w:rsidP="005853BF">
      <w:pPr>
        <w:widowControl/>
        <w:autoSpaceDE/>
        <w:autoSpaceDN/>
        <w:jc w:val="both"/>
        <w:rPr>
          <w:rFonts w:asciiTheme="majorBidi" w:hAnsiTheme="majorBidi" w:cstheme="majorBidi"/>
          <w:sz w:val="24"/>
          <w:szCs w:val="24"/>
          <w14:ligatures w14:val="none"/>
        </w:rPr>
      </w:pPr>
      <w:r w:rsidRPr="0093413E">
        <w:rPr>
          <w:rFonts w:asciiTheme="majorBidi" w:hAnsiTheme="majorBidi" w:cstheme="majorBidi"/>
          <w:sz w:val="24"/>
          <w:szCs w:val="24"/>
          <w14:ligatures w14:val="none"/>
        </w:rPr>
        <w:t xml:space="preserve">Model 3: </w:t>
      </w:r>
    </w:p>
    <w:p w14:paraId="2522E23D" w14:textId="77777777" w:rsidR="00CE2A30" w:rsidRPr="0093413E" w:rsidRDefault="007E3599" w:rsidP="005853BF">
      <w:pPr>
        <w:adjustRightInd w:val="0"/>
        <w:jc w:val="both"/>
        <w:rPr>
          <w:rFonts w:asciiTheme="majorBidi" w:hAnsiTheme="majorBidi" w:cstheme="majorBidi"/>
          <w:b/>
          <w:bCs/>
          <w:sz w:val="24"/>
          <w:szCs w:val="24"/>
          <w14:ligatures w14:val="none"/>
        </w:rPr>
      </w:p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CAR</m:t>
            </m:r>
          </m:e>
          <m:sub>
            <m:r>
              <m:rPr>
                <m:sty m:val="bi"/>
              </m:rPr>
              <w:rPr>
                <w:rFonts w:ascii="Cambria Math" w:hAnsi="Cambria Math" w:cstheme="majorBidi"/>
                <w:sz w:val="24"/>
                <w:szCs w:val="24"/>
              </w:rPr>
              <m:t>it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ind</m:t>
            </m:r>
            <m:r>
              <w:rPr>
                <w:rFonts w:ascii="Cambria Math" w:hAnsi="Cambria Math" w:cstheme="majorBidi"/>
                <w:sz w:val="24"/>
                <w:szCs w:val="24"/>
              </w:rPr>
              <m:t>,</m:t>
            </m:r>
            <m:r>
              <w:rPr>
                <w:rFonts w:ascii="Cambria Math" w:hAnsi="Cambria Math" w:cstheme="majorBidi"/>
                <w:sz w:val="24"/>
                <w:szCs w:val="24"/>
              </w:rPr>
              <m:t>y</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Issuer</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Size</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shd w:val="clear" w:color="auto" w:fill="FFFFFF"/>
          </w:rPr>
          <m:t>L</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everage</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 xml:space="preserve">3 </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Big</m:t>
            </m:r>
            <m:r>
              <w:rPr>
                <w:rFonts w:ascii="Cambria Math" w:hAnsi="Cambria Math" w:cstheme="majorBidi"/>
                <w:sz w:val="24"/>
                <w:szCs w:val="24"/>
                <w:shd w:val="clear" w:color="auto" w:fill="FFFFFF"/>
              </w:rPr>
              <m:t>4</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4</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Return</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on</m:t>
            </m:r>
            <m:r>
              <w:rPr>
                <w:rFonts w:ascii="Cambria Math" w:hAnsi="Cambria Math" w:cstheme="majorBidi"/>
                <w:sz w:val="24"/>
                <w:szCs w:val="24"/>
                <w:shd w:val="clear" w:color="auto" w:fill="FFFFFF"/>
              </w:rPr>
              <m:t xml:space="preserve"> </m:t>
            </m:r>
            <m:r>
              <w:rPr>
                <w:rFonts w:ascii="Cambria Math" w:hAnsi="Cambria Math" w:cstheme="majorBidi"/>
                <w:sz w:val="24"/>
                <w:szCs w:val="24"/>
                <w:shd w:val="clear" w:color="auto" w:fill="FFFFFF"/>
              </w:rPr>
              <m:t>Assets</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r>
              <w:rPr>
                <w:rFonts w:ascii="Cambria Math" w:hAnsi="Cambria Math" w:cstheme="majorBidi"/>
                <w:sz w:val="24"/>
                <w:szCs w:val="24"/>
                <w:shd w:val="clear" w:color="auto" w:fill="FFFFFF"/>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5</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ESG</m:t>
            </m:r>
            <m:r>
              <w:rPr>
                <w:rFonts w:ascii="Cambria Math" w:hAnsi="Cambria Math" w:cstheme="majorBidi"/>
                <w:sz w:val="24"/>
                <w:szCs w:val="24"/>
              </w:rPr>
              <m:t xml:space="preserve"> </m:t>
            </m:r>
            <m:r>
              <w:rPr>
                <w:rFonts w:ascii="Cambria Math" w:hAnsi="Cambria Math" w:cstheme="majorBidi"/>
                <w:sz w:val="24"/>
                <w:szCs w:val="24"/>
              </w:rPr>
              <m:t>Score</m:t>
            </m:r>
            <m:r>
              <w:rPr>
                <w:rFonts w:ascii="Cambria Math" w:hAnsi="Cambria Math" w:cstheme="majorBidi"/>
                <w:sz w:val="24"/>
                <w:szCs w:val="24"/>
              </w:rPr>
              <m:t xml:space="preserve"> </m:t>
            </m:r>
            <m:r>
              <w:rPr>
                <w:rFonts w:ascii="Cambria Math" w:hAnsi="Cambria Math" w:cstheme="majorBidi"/>
                <w:sz w:val="24"/>
                <w:szCs w:val="24"/>
              </w:rPr>
              <m:t>or</m:t>
            </m:r>
            <m:r>
              <w:rPr>
                <w:rFonts w:ascii="Cambria Math" w:hAnsi="Cambria Math" w:cstheme="majorBidi"/>
                <w:sz w:val="24"/>
                <w:szCs w:val="24"/>
              </w:rPr>
              <m:t xml:space="preserve"> </m:t>
            </m:r>
            <m:r>
              <w:rPr>
                <w:rFonts w:ascii="Cambria Math" w:hAnsi="Cambria Math" w:cstheme="majorBidi"/>
                <w:sz w:val="24"/>
                <w:szCs w:val="24"/>
              </w:rPr>
              <m:t>Pillar</m:t>
            </m:r>
            <m:r>
              <w:rPr>
                <w:rFonts w:ascii="Cambria Math" w:hAnsi="Cambria Math" w:cstheme="majorBidi"/>
                <w:sz w:val="24"/>
                <w:szCs w:val="24"/>
              </w:rPr>
              <m:t xml:space="preserve"> )</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6</m:t>
            </m:r>
          </m:sub>
        </m:sSub>
        <m:sSub>
          <m:sSubPr>
            <m:ctrlPr>
              <w:rPr>
                <w:rFonts w:ascii="Cambria Math" w:hAnsi="Cambria Math" w:cstheme="majorBidi"/>
                <w:i/>
                <w:sz w:val="24"/>
                <w:szCs w:val="24"/>
              </w:rPr>
            </m:ctrlPr>
          </m:sSubPr>
          <m:e>
            <m:r>
              <w:rPr>
                <w:rFonts w:ascii="Cambria Math" w:hAnsi="Cambria Math" w:cstheme="majorBidi"/>
                <w:sz w:val="24"/>
                <w:szCs w:val="24"/>
              </w:rPr>
              <m:t>Mood</m:t>
            </m:r>
            <m:sSup>
              <m:sSupPr>
                <m:ctrlPr>
                  <w:rPr>
                    <w:rFonts w:ascii="Cambria Math" w:hAnsi="Cambria Math" w:cstheme="majorBidi"/>
                    <w:i/>
                    <w:sz w:val="24"/>
                    <w:szCs w:val="24"/>
                  </w:rPr>
                </m:ctrlPr>
              </m:sSupPr>
              <m:e>
                <m:r>
                  <w:rPr>
                    <w:rFonts w:ascii="Cambria Math" w:hAnsi="Cambria Math" w:cstheme="majorBidi"/>
                    <w:sz w:val="24"/>
                    <w:szCs w:val="24"/>
                  </w:rPr>
                  <m:t>y</m:t>
                </m:r>
              </m:e>
              <m:sup>
                <m:r>
                  <w:rPr>
                    <w:rFonts w:ascii="Cambria Math" w:hAnsi="Cambria Math" w:cstheme="majorBidi"/>
                    <w:sz w:val="24"/>
                    <w:szCs w:val="24"/>
                  </w:rPr>
                  <m:t>'</m:t>
                </m:r>
              </m:sup>
            </m:sSup>
            <m:r>
              <w:rPr>
                <w:rFonts w:ascii="Cambria Math" w:hAnsi="Cambria Math" w:cstheme="majorBidi"/>
                <w:sz w:val="24"/>
                <w:szCs w:val="24"/>
              </w:rPr>
              <m:t>s</m:t>
            </m:r>
            <m:r>
              <w:rPr>
                <w:rFonts w:ascii="Cambria Math" w:hAnsi="Cambria Math" w:cstheme="majorBidi"/>
                <w:sz w:val="24"/>
                <w:szCs w:val="24"/>
              </w:rPr>
              <m:t xml:space="preserve"> </m:t>
            </m:r>
            <m:r>
              <w:rPr>
                <w:rFonts w:ascii="Cambria Math" w:hAnsi="Cambria Math" w:cstheme="majorBidi"/>
                <w:sz w:val="24"/>
                <w:szCs w:val="24"/>
              </w:rPr>
              <m:t>Rating</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7</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Maturity</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8</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Duration</m:t>
            </m:r>
          </m:e>
          <m:sub>
            <m:r>
              <w:rPr>
                <w:rFonts w:ascii="Cambria Math" w:hAnsi="Cambria Math" w:cstheme="majorBidi"/>
                <w:sz w:val="24"/>
                <w:szCs w:val="24"/>
                <w:shd w:val="clear" w:color="auto" w:fill="FFFFFF"/>
              </w:rPr>
              <m:t>i</m:t>
            </m:r>
            <m:r>
              <w:rPr>
                <w:rFonts w:ascii="Cambria Math" w:hAnsi="Cambria Math" w:cstheme="majorBidi"/>
                <w:sz w:val="24"/>
                <w:szCs w:val="24"/>
                <w:shd w:val="clear" w:color="auto" w:fill="FFFFFF"/>
              </w:rPr>
              <m:t>,</m:t>
            </m:r>
            <m:r>
              <w:rPr>
                <w:rFonts w:ascii="Cambria Math" w:hAnsi="Cambria Math" w:cstheme="majorBidi"/>
                <w:sz w:val="24"/>
                <w:szCs w:val="24"/>
                <w:shd w:val="clear" w:color="auto" w:fill="FFFFFF"/>
              </w:rPr>
              <m:t>t</m:t>
            </m:r>
          </m:sub>
        </m:sSub>
        <m:sSub>
          <m:sSubPr>
            <m:ctrlPr>
              <w:rPr>
                <w:rFonts w:ascii="Cambria Math" w:hAnsi="Cambria Math" w:cstheme="majorBidi"/>
                <w:i/>
                <w:sz w:val="24"/>
                <w:szCs w:val="24"/>
              </w:rPr>
            </m:ctrlPr>
          </m:sSubPr>
          <m:e>
            <m:r>
              <w:rPr>
                <w:rFonts w:ascii="Cambria Math" w:hAnsi="Cambria Math" w:cstheme="majorBidi"/>
                <w:sz w:val="24"/>
                <w:szCs w:val="24"/>
              </w:rPr>
              <m:t>+</m:t>
            </m:r>
            <m:r>
              <w:rPr>
                <w:rFonts w:ascii="Cambria Math" w:hAnsi="Cambria Math" w:cstheme="majorBidi"/>
                <w:sz w:val="24"/>
                <w:szCs w:val="24"/>
              </w:rPr>
              <m:t>β</m:t>
            </m:r>
          </m:e>
          <m:sub>
            <m:r>
              <w:rPr>
                <w:rFonts w:ascii="Cambria Math" w:hAnsi="Cambria Math" w:cstheme="majorBidi"/>
                <w:sz w:val="24"/>
                <w:szCs w:val="24"/>
              </w:rPr>
              <m:t>9</m:t>
            </m:r>
          </m:sub>
        </m:sSub>
        <m:sSub>
          <m:sSubPr>
            <m:ctrlPr>
              <w:rPr>
                <w:rFonts w:ascii="Cambria Math" w:hAnsi="Cambria Math" w:cstheme="majorBidi"/>
                <w:i/>
                <w:sz w:val="24"/>
                <w:szCs w:val="24"/>
              </w:rPr>
            </m:ctrlPr>
          </m:sSubPr>
          <m:e>
            <m:r>
              <w:rPr>
                <w:rFonts w:ascii="Cambria Math" w:hAnsi="Cambria Math" w:cstheme="majorBidi"/>
                <w:sz w:val="24"/>
                <w:szCs w:val="24"/>
              </w:rPr>
              <m:t>Issue</m:t>
            </m:r>
            <m:r>
              <w:rPr>
                <w:rFonts w:ascii="Cambria Math" w:hAnsi="Cambria Math" w:cstheme="majorBidi"/>
                <w:sz w:val="24"/>
                <w:szCs w:val="24"/>
              </w:rPr>
              <m:t xml:space="preserve"> </m:t>
            </m:r>
            <m:r>
              <w:rPr>
                <w:rFonts w:ascii="Cambria Math" w:hAnsi="Cambria Math" w:cstheme="majorBidi"/>
                <w:sz w:val="24"/>
                <w:szCs w:val="24"/>
              </w:rPr>
              <m:t>Relative</m:t>
            </m:r>
            <m:r>
              <w:rPr>
                <w:rFonts w:ascii="Cambria Math" w:hAnsi="Cambria Math" w:cstheme="majorBidi"/>
                <w:sz w:val="24"/>
                <w:szCs w:val="24"/>
              </w:rPr>
              <m:t xml:space="preserve"> </m:t>
            </m:r>
            <m:r>
              <w:rPr>
                <w:rFonts w:ascii="Cambria Math" w:hAnsi="Cambria Math" w:cstheme="majorBidi"/>
                <w:sz w:val="24"/>
                <w:szCs w:val="24"/>
              </w:rPr>
              <m:t>Size</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sSub>
          <m:sSubPr>
            <m:ctrlPr>
              <w:rPr>
                <w:rFonts w:ascii="Cambria Math" w:hAnsi="Cambria Math" w:cstheme="majorBidi"/>
                <w:i/>
                <w:sz w:val="24"/>
                <w:szCs w:val="24"/>
              </w:rPr>
            </m:ctrlPr>
          </m:sSubPr>
          <m:e>
            <m:sSub>
              <m:sSubPr>
                <m:ctrlPr>
                  <w:rPr>
                    <w:rFonts w:ascii="Cambria Math" w:hAnsi="Cambria Math" w:cstheme="majorBidi"/>
                    <w:i/>
                    <w:sz w:val="24"/>
                    <w:szCs w:val="24"/>
                  </w:rPr>
                </m:ctrlPr>
              </m:sSubPr>
              <m:e>
                <m:r>
                  <w:rPr>
                    <w:rFonts w:ascii="Cambria Math" w:hAnsi="Cambria Math" w:cstheme="majorBidi"/>
                    <w:sz w:val="24"/>
                    <w:szCs w:val="24"/>
                  </w:rPr>
                  <m:t>+</m:t>
                </m:r>
                <m:r>
                  <w:rPr>
                    <w:rFonts w:ascii="Cambria Math" w:hAnsi="Cambria Math" w:cstheme="majorBidi"/>
                    <w:sz w:val="24"/>
                    <w:szCs w:val="24"/>
                  </w:rPr>
                  <m:t>α</m:t>
                </m:r>
              </m:e>
              <m:sub>
                <m:r>
                  <w:rPr>
                    <w:rFonts w:ascii="Cambria Math" w:hAnsi="Cambria Math" w:cstheme="majorBidi"/>
                    <w:sz w:val="24"/>
                    <w:szCs w:val="24"/>
                  </w:rPr>
                  <m:t>y</m:t>
                </m:r>
              </m:sub>
            </m:sSub>
            <m:r>
              <w:rPr>
                <w:rFonts w:ascii="Cambria Math" w:hAnsi="Cambria Math" w:cstheme="majorBidi"/>
                <w:sz w:val="24"/>
                <w:szCs w:val="24"/>
              </w:rPr>
              <m:t>Year</m:t>
            </m:r>
            <m:r>
              <w:rPr>
                <w:rFonts w:ascii="Cambria Math" w:hAnsi="Cambria Math" w:cstheme="majorBidi"/>
                <w:sz w:val="24"/>
                <w:szCs w:val="24"/>
              </w:rPr>
              <m:t xml:space="preserve"> </m:t>
            </m:r>
            <m:r>
              <w:rPr>
                <w:rFonts w:ascii="Cambria Math" w:hAnsi="Cambria Math" w:cstheme="majorBidi"/>
                <w:sz w:val="24"/>
                <w:szCs w:val="24"/>
              </w:rPr>
              <m:t>Effect</m:t>
            </m:r>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ind</m:t>
                </m:r>
              </m:sub>
            </m:sSub>
            <m:r>
              <w:rPr>
                <w:rFonts w:ascii="Cambria Math" w:hAnsi="Cambria Math" w:cstheme="majorBidi"/>
                <w:sz w:val="24"/>
                <w:szCs w:val="24"/>
              </w:rPr>
              <m:t>Industry</m:t>
            </m:r>
            <m:r>
              <w:rPr>
                <w:rFonts w:ascii="Cambria Math" w:hAnsi="Cambria Math" w:cstheme="majorBidi"/>
                <w:sz w:val="24"/>
                <w:szCs w:val="24"/>
              </w:rPr>
              <m:t xml:space="preserve"> </m:t>
            </m:r>
            <m:r>
              <w:rPr>
                <w:rFonts w:ascii="Cambria Math" w:hAnsi="Cambria Math" w:cstheme="majorBidi"/>
                <w:sz w:val="24"/>
                <w:szCs w:val="24"/>
              </w:rPr>
              <m:t>Effect</m:t>
            </m:r>
            <m:r>
              <w:rPr>
                <w:rFonts w:ascii="Cambria Math" w:hAnsi="Cambria Math" w:cstheme="majorBidi"/>
                <w:sz w:val="24"/>
                <w:szCs w:val="24"/>
              </w:rPr>
              <m:t>+</m:t>
            </m:r>
            <m:r>
              <w:rPr>
                <w:rFonts w:ascii="Cambria Math" w:hAnsi="Cambria Math" w:cstheme="majorBidi"/>
                <w:sz w:val="24"/>
                <w:szCs w:val="24"/>
              </w:rPr>
              <m:t>λ</m:t>
            </m:r>
            <m:sSup>
              <m:sSupPr>
                <m:ctrlPr>
                  <w:rPr>
                    <w:rFonts w:ascii="Cambria Math" w:hAnsi="Cambria Math" w:cstheme="majorBidi"/>
                    <w:color w:val="000000"/>
                    <w:sz w:val="24"/>
                    <w:szCs w:val="24"/>
                  </w:rPr>
                </m:ctrlPr>
              </m:sSupPr>
              <m:e>
                <m:r>
                  <m:rPr>
                    <m:sty m:val="p"/>
                  </m:rPr>
                  <w:rPr>
                    <w:rFonts w:ascii="Cambria Math" w:hAnsi="Cambria Math" w:cstheme="majorBidi"/>
                    <w:color w:val="000000"/>
                    <w:sz w:val="24"/>
                    <w:szCs w:val="24"/>
                  </w:rPr>
                  <m:t>Mill</m:t>
                </m:r>
              </m:e>
              <m:sup>
                <m:r>
                  <m:rPr>
                    <m:sty m:val="p"/>
                  </m:rPr>
                  <w:rPr>
                    <w:rFonts w:ascii="Cambria Math" w:hAnsi="Cambria Math" w:cstheme="majorBidi"/>
                    <w:color w:val="000000"/>
                    <w:sz w:val="24"/>
                    <w:szCs w:val="24"/>
                  </w:rPr>
                  <m:t>'</m:t>
                </m:r>
              </m:sup>
            </m:sSup>
            <m:r>
              <m:rPr>
                <m:sty m:val="p"/>
              </m:rPr>
              <w:rPr>
                <w:rFonts w:ascii="Cambria Math" w:hAnsi="Cambria Math" w:cstheme="majorBidi"/>
                <w:color w:val="000000"/>
                <w:sz w:val="24"/>
                <w:szCs w:val="24"/>
              </w:rPr>
              <m:t>s ratio+</m:t>
            </m:r>
            <m:r>
              <w:rPr>
                <w:rFonts w:ascii="Cambria Math" w:hAnsi="Cambria Math" w:cstheme="majorBidi"/>
                <w:sz w:val="24"/>
                <w:szCs w:val="24"/>
              </w:rPr>
              <m:t>ε</m:t>
            </m:r>
          </m:e>
          <m:sub>
            <m:r>
              <w:rPr>
                <w:rFonts w:ascii="Cambria Math" w:hAnsi="Cambria Math" w:cstheme="majorBidi"/>
                <w:sz w:val="24"/>
                <w:szCs w:val="24"/>
              </w:rPr>
              <m:t>i</m:t>
            </m:r>
            <m:r>
              <w:rPr>
                <w:rFonts w:ascii="Cambria Math" w:hAnsi="Cambria Math" w:cstheme="majorBidi"/>
                <w:sz w:val="24"/>
                <w:szCs w:val="24"/>
              </w:rPr>
              <m:t>,</m:t>
            </m:r>
            <m:r>
              <w:rPr>
                <w:rFonts w:ascii="Cambria Math" w:hAnsi="Cambria Math" w:cstheme="majorBidi"/>
                <w:sz w:val="24"/>
                <w:szCs w:val="24"/>
              </w:rPr>
              <m:t>t</m:t>
            </m:r>
          </m:sub>
        </m:sSub>
        <m:r>
          <w:rPr>
            <w:rFonts w:ascii="Cambria Math" w:hAnsi="Cambria Math" w:cstheme="majorBidi"/>
            <w:sz w:val="24"/>
            <w:szCs w:val="24"/>
          </w:rPr>
          <m:t xml:space="preserve">     , </m:t>
        </m:r>
        <m:r>
          <w:rPr>
            <w:rFonts w:ascii="Cambria Math" w:hAnsi="Cambria Math" w:cstheme="majorBidi"/>
            <w:sz w:val="24"/>
            <w:szCs w:val="24"/>
          </w:rPr>
          <m:t>If</m:t>
        </m:r>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Reported</m:t>
            </m:r>
            <m:r>
              <w:rPr>
                <w:rFonts w:ascii="Cambria Math" w:hAnsi="Cambria Math" w:cstheme="majorBidi"/>
                <w:sz w:val="24"/>
                <w:szCs w:val="24"/>
              </w:rPr>
              <m:t xml:space="preserve"> </m:t>
            </m:r>
            <m:r>
              <m:rPr>
                <m:sty m:val="p"/>
              </m:rPr>
              <w:rPr>
                <w:rFonts w:ascii="Cambria Math" w:hAnsi="Cambria Math" w:cstheme="majorBidi"/>
                <w:sz w:val="24"/>
                <w:szCs w:val="24"/>
              </w:rPr>
              <m:t>ESG</m:t>
            </m:r>
            <m:r>
              <w:rPr>
                <w:rFonts w:ascii="Cambria Math" w:hAnsi="Cambria Math" w:cstheme="majorBidi"/>
                <w:sz w:val="24"/>
                <w:szCs w:val="24"/>
              </w:rPr>
              <m:t xml:space="preserve"> </m:t>
            </m:r>
          </m:e>
          <m:sub>
            <m:r>
              <w:rPr>
                <w:rFonts w:ascii="Cambria Math" w:hAnsi="Cambria Math" w:cstheme="majorBidi"/>
                <w:sz w:val="24"/>
                <w:szCs w:val="24"/>
              </w:rPr>
              <m:t>it</m:t>
            </m:r>
          </m:sub>
        </m:sSub>
        <m:r>
          <w:rPr>
            <w:rFonts w:ascii="Cambria Math" w:hAnsi="Cambria Math" w:cstheme="majorBidi"/>
            <w:sz w:val="24"/>
            <w:szCs w:val="24"/>
          </w:rPr>
          <m:t>&gt;0</m:t>
        </m:r>
      </m:oMath>
      <w:r w:rsidR="00CE2A30" w:rsidRPr="0093413E">
        <w:rPr>
          <w:rFonts w:asciiTheme="majorBidi" w:hAnsiTheme="majorBidi" w:cstheme="majorBidi"/>
          <w:b/>
          <w:bCs/>
          <w:sz w:val="24"/>
          <w:szCs w:val="24"/>
          <w14:ligatures w14:val="none"/>
        </w:rPr>
        <w:t xml:space="preserve"> </w:t>
      </w:r>
    </w:p>
    <w:p w14:paraId="712F689B" w14:textId="14A7BC35" w:rsidR="00C73E77" w:rsidRPr="0093413E" w:rsidRDefault="007368EF" w:rsidP="005853BF">
      <w:pPr>
        <w:pStyle w:val="NormalWeb"/>
        <w:spacing w:before="0" w:beforeAutospacing="0" w:after="0" w:afterAutospacing="0"/>
        <w:ind w:firstLine="432"/>
        <w:jc w:val="both"/>
        <w:rPr>
          <w:rFonts w:asciiTheme="majorBidi" w:hAnsiTheme="majorBidi" w:cstheme="majorBidi"/>
        </w:rPr>
      </w:pPr>
      <w:r w:rsidRPr="0093413E">
        <w:rPr>
          <w:rFonts w:asciiTheme="majorBidi" w:hAnsiTheme="majorBidi" w:cstheme="majorBidi"/>
        </w:rPr>
        <w:fldChar w:fldCharType="begin"/>
      </w:r>
      <w:r w:rsidRPr="0093413E">
        <w:rPr>
          <w:rFonts w:asciiTheme="majorBidi" w:hAnsiTheme="majorBidi" w:cstheme="majorBidi"/>
        </w:rPr>
        <w:instrText xml:space="preserve"> QUOTE </w:instrText>
      </w:r>
      <w:r w:rsidRPr="0093413E">
        <w:rPr>
          <w:rFonts w:asciiTheme="majorBidi" w:hAnsiTheme="majorBidi" w:cstheme="majorBidi"/>
          <w:noProof/>
        </w:rPr>
        <w:drawing>
          <wp:inline distT="0" distB="0" distL="0" distR="0" wp14:anchorId="773C9BC1" wp14:editId="6B302E80">
            <wp:extent cx="400050" cy="203200"/>
            <wp:effectExtent l="0" t="0" r="0" b="0"/>
            <wp:docPr id="2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400050" cy="203200"/>
                    </a:xfrm>
                    <a:prstGeom prst="rect">
                      <a:avLst/>
                    </a:prstGeom>
                    <a:noFill/>
                    <a:ln w="9525">
                      <a:noFill/>
                      <a:miter lim="800000"/>
                      <a:headEnd/>
                      <a:tailEnd/>
                    </a:ln>
                  </pic:spPr>
                </pic:pic>
              </a:graphicData>
            </a:graphic>
          </wp:inline>
        </w:drawing>
      </w:r>
      <w:r w:rsidRPr="0093413E">
        <w:rPr>
          <w:rFonts w:asciiTheme="majorBidi" w:hAnsiTheme="majorBidi" w:cstheme="majorBidi"/>
        </w:rPr>
        <w:instrText xml:space="preserve"> </w:instrText>
      </w:r>
      <w:r w:rsidRPr="0093413E">
        <w:rPr>
          <w:rFonts w:asciiTheme="majorBidi" w:hAnsiTheme="majorBidi" w:cstheme="majorBidi"/>
        </w:rPr>
        <w:fldChar w:fldCharType="separate"/>
      </w:r>
      <w:r w:rsidRPr="0093413E">
        <w:rPr>
          <w:rFonts w:asciiTheme="majorBidi" w:hAnsiTheme="majorBidi" w:cstheme="majorBidi"/>
        </w:rPr>
        <w:t>The industry-specific intercept (</w:t>
      </w:r>
      <m:oMath>
        <m:sSub>
          <m:sSubPr>
            <m:ctrlPr>
              <w:rPr>
                <w:rFonts w:ascii="Cambria Math" w:hAnsi="Cambria Math" w:cstheme="majorBidi"/>
                <w:i/>
              </w:rPr>
            </m:ctrlPr>
          </m:sSubPr>
          <m:e>
            <m:r>
              <m:rPr>
                <m:sty m:val="p"/>
              </m:rPr>
              <w:rPr>
                <w:rFonts w:ascii="Cambria Math" w:hAnsi="Cambria Math" w:cstheme="majorBidi"/>
              </w:rPr>
              <m:t>α</m:t>
            </m:r>
          </m:e>
          <m:sub>
            <m:r>
              <m:rPr>
                <m:sty m:val="p"/>
              </m:rPr>
              <w:rPr>
                <w:rFonts w:ascii="Cambria Math" w:hAnsi="Cambria Math" w:cstheme="majorBidi"/>
              </w:rPr>
              <m:t>ind</m:t>
            </m:r>
          </m:sub>
        </m:sSub>
        <m:r>
          <m:rPr>
            <m:sty m:val="p"/>
          </m:rPr>
          <w:rPr>
            <w:rFonts w:ascii="Cambria Math" w:hAnsi="Cambria Math" w:cstheme="majorBidi"/>
          </w:rPr>
          <m:t>)</m:t>
        </m:r>
      </m:oMath>
      <w:r w:rsidRPr="0093413E">
        <w:rPr>
          <w:rFonts w:asciiTheme="majorBidi" w:hAnsiTheme="majorBidi" w:cstheme="majorBidi"/>
        </w:rPr>
        <w:t xml:space="preserve">  assists in controlling for unobserved heterogeneity across firms-industry, and the year-specific intercept (</w:t>
      </w:r>
      <m:oMath>
        <m:sSub>
          <m:sSubPr>
            <m:ctrlPr>
              <w:rPr>
                <w:rFonts w:ascii="Cambria Math" w:hAnsi="Cambria Math" w:cstheme="majorBidi"/>
                <w:i/>
              </w:rPr>
            </m:ctrlPr>
          </m:sSubPr>
          <m:e>
            <m:r>
              <m:rPr>
                <m:sty m:val="p"/>
              </m:rPr>
              <w:rPr>
                <w:rFonts w:ascii="Cambria Math" w:hAnsi="Cambria Math" w:cstheme="majorBidi"/>
              </w:rPr>
              <m:t>α</m:t>
            </m:r>
          </m:e>
          <m:sub>
            <m:r>
              <m:rPr>
                <m:sty m:val="p"/>
              </m:rPr>
              <w:rPr>
                <w:rFonts w:ascii="Cambria Math" w:hAnsi="Cambria Math" w:cstheme="majorBidi"/>
              </w:rPr>
              <m:t>y</m:t>
            </m:r>
          </m:sub>
        </m:sSub>
        <m:r>
          <m:rPr>
            <m:sty m:val="p"/>
          </m:rPr>
          <w:rPr>
            <w:rFonts w:ascii="Cambria Math" w:hAnsi="Cambria Math" w:cstheme="majorBidi"/>
          </w:rPr>
          <m:t>)</m:t>
        </m:r>
      </m:oMath>
      <w:r w:rsidRPr="0093413E">
        <w:rPr>
          <w:rFonts w:asciiTheme="majorBidi" w:hAnsiTheme="majorBidi" w:cstheme="majorBidi"/>
        </w:rPr>
        <w:t xml:space="preserve"> assists in controlling for unobserved heterogeneity across time</w:t>
      </w:r>
      <w:r w:rsidRPr="0093413E">
        <w:rPr>
          <w:rFonts w:asciiTheme="majorBidi" w:hAnsiTheme="majorBidi" w:cstheme="majorBidi"/>
        </w:rPr>
        <w:fldChar w:fldCharType="end"/>
      </w:r>
      <w:r w:rsidRPr="0093413E">
        <w:rPr>
          <w:rFonts w:asciiTheme="majorBidi" w:hAnsiTheme="majorBidi" w:cstheme="majorBidi"/>
        </w:rPr>
        <w:t>.</w:t>
      </w:r>
      <w:r w:rsidR="006F0F54" w:rsidRPr="0093413E">
        <w:rPr>
          <w:rFonts w:asciiTheme="majorBidi" w:hAnsiTheme="majorBidi" w:cstheme="majorBidi"/>
        </w:rPr>
        <w:t xml:space="preserve"> </w:t>
      </w:r>
      <w:r w:rsidR="003121AB" w:rsidRPr="0093413E">
        <w:rPr>
          <w:rFonts w:asciiTheme="majorBidi" w:hAnsiTheme="majorBidi" w:cstheme="majorBidi"/>
        </w:rPr>
        <w:t xml:space="preserve">For the base </w:t>
      </w:r>
      <w:r w:rsidR="008F589A" w:rsidRPr="0093413E">
        <w:rPr>
          <w:rFonts w:asciiTheme="majorBidi" w:hAnsiTheme="majorBidi" w:cstheme="majorBidi"/>
        </w:rPr>
        <w:t xml:space="preserve">model, </w:t>
      </w:r>
      <w:r w:rsidR="003121AB" w:rsidRPr="0093413E">
        <w:rPr>
          <w:rFonts w:asciiTheme="majorBidi" w:hAnsiTheme="majorBidi" w:cstheme="majorBidi"/>
        </w:rPr>
        <w:t xml:space="preserve">we included the full Sample of 8562 </w:t>
      </w:r>
      <w:r w:rsidR="008F589A" w:rsidRPr="0093413E">
        <w:rPr>
          <w:rFonts w:asciiTheme="majorBidi" w:hAnsiTheme="majorBidi" w:cstheme="majorBidi"/>
        </w:rPr>
        <w:t>offers.</w:t>
      </w:r>
    </w:p>
    <w:p w14:paraId="31BEA9B3" w14:textId="58375A5C" w:rsidR="0088494B" w:rsidRPr="0093413E" w:rsidRDefault="00E75A96" w:rsidP="005853BF">
      <w:pPr>
        <w:pStyle w:val="Heading3"/>
        <w:numPr>
          <w:ilvl w:val="0"/>
          <w:numId w:val="34"/>
        </w:numPr>
        <w:ind w:left="450"/>
        <w:rPr>
          <w:rFonts w:asciiTheme="majorBidi" w:hAnsiTheme="majorBidi"/>
          <w:color w:val="auto"/>
          <w:sz w:val="24"/>
          <w:szCs w:val="24"/>
        </w:rPr>
      </w:pPr>
      <w:r w:rsidRPr="0093413E">
        <w:rPr>
          <w:rFonts w:asciiTheme="majorBidi" w:hAnsiTheme="majorBidi"/>
          <w:color w:val="auto"/>
          <w:sz w:val="24"/>
          <w:szCs w:val="24"/>
        </w:rPr>
        <w:t>Empirical Results</w:t>
      </w:r>
    </w:p>
    <w:p w14:paraId="5913FA3C" w14:textId="0A9BE61C" w:rsidR="00334D9D" w:rsidRPr="0093413E" w:rsidRDefault="00695058" w:rsidP="005853BF">
      <w:pPr>
        <w:widowControl/>
        <w:autoSpaceDE/>
        <w:autoSpaceDN/>
        <w:ind w:firstLine="432"/>
        <w:jc w:val="both"/>
        <w:rPr>
          <w:rFonts w:asciiTheme="majorBidi" w:hAnsiTheme="majorBidi" w:cstheme="majorBidi"/>
          <w:sz w:val="24"/>
          <w:szCs w:val="24"/>
        </w:rPr>
      </w:pPr>
      <w:r w:rsidRPr="0093413E">
        <w:rPr>
          <w:rFonts w:asciiTheme="majorBidi" w:hAnsiTheme="majorBidi" w:cstheme="majorBidi"/>
          <w:sz w:val="24"/>
          <w:szCs w:val="24"/>
          <w14:ligatures w14:val="none"/>
        </w:rPr>
        <w:t xml:space="preserve">To evaluate hypothesis 1,  the </w:t>
      </w:r>
      <w:r w:rsidR="00522594" w:rsidRPr="0093413E">
        <w:rPr>
          <w:rFonts w:asciiTheme="majorBidi" w:hAnsiTheme="majorBidi" w:cstheme="majorBidi"/>
          <w:sz w:val="24"/>
          <w:szCs w:val="24"/>
          <w14:ligatures w14:val="none"/>
        </w:rPr>
        <w:t>Yield Spread</w:t>
      </w:r>
      <w:r w:rsidRPr="0093413E">
        <w:rPr>
          <w:rFonts w:asciiTheme="majorBidi" w:hAnsiTheme="majorBidi" w:cstheme="majorBidi"/>
          <w:sz w:val="24"/>
          <w:szCs w:val="24"/>
          <w14:ligatures w14:val="none"/>
        </w:rPr>
        <w:t xml:space="preserve"> is regressed on ESG performance metrics and various </w:t>
      </w:r>
      <w:r w:rsidR="00D761F6" w:rsidRPr="0093413E">
        <w:rPr>
          <w:rFonts w:asciiTheme="majorBidi" w:hAnsiTheme="majorBidi" w:cstheme="majorBidi"/>
          <w:sz w:val="24"/>
          <w:szCs w:val="24"/>
          <w14:ligatures w14:val="none"/>
        </w:rPr>
        <w:t xml:space="preserve">firms and Offer </w:t>
      </w:r>
      <w:r w:rsidRPr="0093413E">
        <w:rPr>
          <w:rFonts w:asciiTheme="majorBidi" w:hAnsiTheme="majorBidi" w:cstheme="majorBidi"/>
          <w:sz w:val="24"/>
          <w:szCs w:val="24"/>
          <w14:ligatures w14:val="none"/>
        </w:rPr>
        <w:t xml:space="preserve">control variables. Table </w:t>
      </w:r>
      <w:r w:rsidR="00D761F6" w:rsidRPr="0093413E">
        <w:rPr>
          <w:rFonts w:asciiTheme="majorBidi" w:hAnsiTheme="majorBidi" w:cstheme="majorBidi"/>
          <w:sz w:val="24"/>
          <w:szCs w:val="24"/>
          <w14:ligatures w14:val="none"/>
        </w:rPr>
        <w:t>4</w:t>
      </w:r>
      <w:r w:rsidRPr="0093413E">
        <w:rPr>
          <w:rFonts w:asciiTheme="majorBidi" w:hAnsiTheme="majorBidi" w:cstheme="majorBidi"/>
          <w:sz w:val="24"/>
          <w:szCs w:val="24"/>
          <w14:ligatures w14:val="none"/>
        </w:rPr>
        <w:t xml:space="preserve"> shows that the</w:t>
      </w:r>
      <w:r w:rsidRPr="0093413E">
        <w:rPr>
          <w:rFonts w:asciiTheme="majorBidi" w:hAnsiTheme="majorBidi" w:cstheme="majorBidi"/>
          <w:sz w:val="24"/>
          <w:szCs w:val="24"/>
        </w:rPr>
        <w:t xml:space="preserve"> coefficients for ESG Combined and ESG scores are </w:t>
      </w:r>
      <w:r w:rsidR="005E429C" w:rsidRPr="0093413E">
        <w:rPr>
          <w:rFonts w:asciiTheme="majorBidi" w:hAnsiTheme="majorBidi" w:cstheme="majorBidi"/>
          <w:sz w:val="24"/>
          <w:szCs w:val="24"/>
        </w:rPr>
        <w:t>negative</w:t>
      </w:r>
      <w:r w:rsidRPr="0093413E">
        <w:rPr>
          <w:rFonts w:asciiTheme="majorBidi" w:hAnsiTheme="majorBidi" w:cstheme="majorBidi"/>
          <w:sz w:val="24"/>
          <w:szCs w:val="24"/>
        </w:rPr>
        <w:t xml:space="preserve"> and significant at the 1 percent level, suggesting that higher ESG performance is associated with a lower </w:t>
      </w:r>
      <w:r w:rsidR="00F64AD6" w:rsidRPr="0093413E">
        <w:rPr>
          <w:rFonts w:asciiTheme="majorBidi" w:hAnsiTheme="majorBidi" w:cstheme="majorBidi"/>
          <w:sz w:val="24"/>
          <w:szCs w:val="24"/>
          <w14:ligatures w14:val="none"/>
        </w:rPr>
        <w:t>cost of Debt</w:t>
      </w:r>
      <w:r w:rsidRPr="0093413E">
        <w:rPr>
          <w:rFonts w:asciiTheme="majorBidi" w:hAnsiTheme="majorBidi" w:cstheme="majorBidi"/>
          <w:sz w:val="24"/>
          <w:szCs w:val="24"/>
        </w:rPr>
        <w:t xml:space="preserve">. </w:t>
      </w:r>
      <w:r w:rsidR="00AF6BB6">
        <w:t xml:space="preserve">This finding aligns with </w:t>
      </w:r>
      <w:r w:rsidR="00EB3223">
        <w:t xml:space="preserve">CSR </w:t>
      </w:r>
      <w:r w:rsidR="00AF6BB6">
        <w:t>previous studies</w:t>
      </w:r>
      <w:r w:rsidR="00EB3223">
        <w:t xml:space="preserve"> found that higher CRS reduces financing costs</w:t>
      </w:r>
      <w:r w:rsidR="00AF6BB6">
        <w:t xml:space="preserve"> </w:t>
      </w:r>
      <w:r w:rsidR="00EB3223">
        <w:t>(</w:t>
      </w:r>
      <w:r w:rsidR="00AF6BB6">
        <w:t xml:space="preserve">Oikonomou, Brooks, and </w:t>
      </w:r>
      <w:proofErr w:type="spellStart"/>
      <w:r w:rsidR="00AF6BB6">
        <w:t>Pavelin</w:t>
      </w:r>
      <w:proofErr w:type="spellEnd"/>
      <w:r w:rsidR="00AF6BB6">
        <w:t xml:space="preserve"> (2014), Chava (2014), and Ge and Liu (2015) </w:t>
      </w:r>
      <w:r w:rsidR="00EB3223">
        <w:t xml:space="preserve">. </w:t>
      </w:r>
      <w:r w:rsidRPr="0093413E">
        <w:rPr>
          <w:rFonts w:asciiTheme="majorBidi" w:hAnsiTheme="majorBidi" w:cstheme="majorBidi"/>
          <w:sz w:val="24"/>
          <w:szCs w:val="24"/>
        </w:rPr>
        <w:t xml:space="preserve">This indicates that the market responds favorably to firms with better ESG performance, reflecting a </w:t>
      </w:r>
      <w:r w:rsidR="00252182" w:rsidRPr="0093413E">
        <w:rPr>
          <w:rFonts w:asciiTheme="majorBidi" w:hAnsiTheme="majorBidi" w:cstheme="majorBidi"/>
          <w:sz w:val="24"/>
          <w:szCs w:val="24"/>
        </w:rPr>
        <w:t>discount</w:t>
      </w:r>
      <w:r w:rsidRPr="0093413E">
        <w:rPr>
          <w:rFonts w:asciiTheme="majorBidi" w:hAnsiTheme="majorBidi" w:cstheme="majorBidi"/>
          <w:sz w:val="24"/>
          <w:szCs w:val="24"/>
        </w:rPr>
        <w:t xml:space="preserve"> for firms perceived as more socially responsible. </w:t>
      </w:r>
      <w:r w:rsidR="003F1FF4" w:rsidRPr="0093413E">
        <w:rPr>
          <w:rFonts w:asciiTheme="majorBidi" w:hAnsiTheme="majorBidi" w:cstheme="majorBidi"/>
          <w:sz w:val="24"/>
          <w:szCs w:val="24"/>
        </w:rPr>
        <w:t xml:space="preserve"> Table 4 yields comparable results when the model includes the pillar components of the ESG score. The Governance Pillar shows a </w:t>
      </w:r>
      <w:r w:rsidR="001B11EC" w:rsidRPr="0093413E">
        <w:rPr>
          <w:rFonts w:asciiTheme="majorBidi" w:hAnsiTheme="majorBidi" w:cstheme="majorBidi"/>
          <w:sz w:val="24"/>
          <w:szCs w:val="24"/>
        </w:rPr>
        <w:t>negative</w:t>
      </w:r>
      <w:r w:rsidR="003F1FF4" w:rsidRPr="0093413E">
        <w:rPr>
          <w:rFonts w:asciiTheme="majorBidi" w:hAnsiTheme="majorBidi" w:cstheme="majorBidi"/>
          <w:sz w:val="24"/>
          <w:szCs w:val="24"/>
        </w:rPr>
        <w:t xml:space="preserve"> significant coefficient, suggesting that effective governance practices such as firm management, shareholder alignment, and a clear </w:t>
      </w:r>
      <w:r w:rsidR="00E24292">
        <w:rPr>
          <w:rFonts w:asciiTheme="majorBidi" w:hAnsiTheme="majorBidi" w:cstheme="majorBidi"/>
          <w:sz w:val="24"/>
          <w:szCs w:val="24"/>
        </w:rPr>
        <w:t>ESG</w:t>
      </w:r>
      <w:r w:rsidR="003F1FF4" w:rsidRPr="0093413E">
        <w:rPr>
          <w:rFonts w:asciiTheme="majorBidi" w:hAnsiTheme="majorBidi" w:cstheme="majorBidi"/>
          <w:sz w:val="24"/>
          <w:szCs w:val="24"/>
        </w:rPr>
        <w:t xml:space="preserve"> strategy </w:t>
      </w:r>
      <w:r w:rsidR="00C76398" w:rsidRPr="0093413E">
        <w:rPr>
          <w:rFonts w:asciiTheme="majorBidi" w:hAnsiTheme="majorBidi" w:cstheme="majorBidi"/>
          <w:sz w:val="24"/>
          <w:szCs w:val="24"/>
        </w:rPr>
        <w:t>negatively</w:t>
      </w:r>
      <w:r w:rsidR="003F1FF4" w:rsidRPr="0093413E">
        <w:rPr>
          <w:rFonts w:asciiTheme="majorBidi" w:hAnsiTheme="majorBidi" w:cstheme="majorBidi"/>
          <w:sz w:val="24"/>
          <w:szCs w:val="24"/>
        </w:rPr>
        <w:t xml:space="preserve"> influence </w:t>
      </w:r>
      <w:r w:rsidR="003F1FF4" w:rsidRPr="0093413E">
        <w:rPr>
          <w:rFonts w:asciiTheme="majorBidi" w:hAnsiTheme="majorBidi" w:cstheme="majorBidi"/>
          <w:sz w:val="24"/>
          <w:szCs w:val="24"/>
          <w14:ligatures w14:val="none"/>
        </w:rPr>
        <w:t>Yield Spread</w:t>
      </w:r>
      <w:r w:rsidR="00E24292">
        <w:rPr>
          <w:rFonts w:asciiTheme="majorBidi" w:hAnsiTheme="majorBidi" w:cstheme="majorBidi"/>
          <w:sz w:val="24"/>
          <w:szCs w:val="24"/>
          <w14:ligatures w14:val="none"/>
        </w:rPr>
        <w:t xml:space="preserve"> (</w:t>
      </w:r>
      <w:r w:rsidR="00E24292">
        <w:t>Goss and Roberts (2011) and Du et al. (2015))</w:t>
      </w:r>
      <w:r w:rsidR="003F1FF4" w:rsidRPr="0093413E">
        <w:rPr>
          <w:rFonts w:asciiTheme="majorBidi" w:hAnsiTheme="majorBidi" w:cstheme="majorBidi"/>
          <w:sz w:val="24"/>
          <w:szCs w:val="24"/>
        </w:rPr>
        <w:t xml:space="preserve">. The coefficient for the Social Pillar is also </w:t>
      </w:r>
      <w:r w:rsidR="00C76398" w:rsidRPr="0093413E">
        <w:rPr>
          <w:rFonts w:asciiTheme="majorBidi" w:hAnsiTheme="majorBidi" w:cstheme="majorBidi"/>
          <w:sz w:val="24"/>
          <w:szCs w:val="24"/>
        </w:rPr>
        <w:t>negative</w:t>
      </w:r>
      <w:r w:rsidR="003F1FF4" w:rsidRPr="0093413E">
        <w:rPr>
          <w:rFonts w:asciiTheme="majorBidi" w:hAnsiTheme="majorBidi" w:cstheme="majorBidi"/>
          <w:sz w:val="24"/>
          <w:szCs w:val="24"/>
        </w:rPr>
        <w:t xml:space="preserve"> and significant </w:t>
      </w:r>
      <w:r w:rsidR="00BE5C04">
        <w:rPr>
          <w:rFonts w:asciiTheme="majorBidi" w:hAnsiTheme="majorBidi" w:cstheme="majorBidi"/>
          <w:sz w:val="24"/>
          <w:szCs w:val="24"/>
        </w:rPr>
        <w:t>(</w:t>
      </w:r>
      <w:r w:rsidR="00BE5C04" w:rsidRPr="00BE5C04">
        <w:rPr>
          <w:rFonts w:asciiTheme="majorBidi" w:hAnsiTheme="majorBidi" w:cstheme="majorBidi"/>
          <w:sz w:val="24"/>
          <w:szCs w:val="24"/>
        </w:rPr>
        <w:t xml:space="preserve">Ferrell, Liang, and </w:t>
      </w:r>
      <w:proofErr w:type="spellStart"/>
      <w:r w:rsidR="00BE5C04" w:rsidRPr="00BE5C04">
        <w:rPr>
          <w:rFonts w:asciiTheme="majorBidi" w:hAnsiTheme="majorBidi" w:cstheme="majorBidi"/>
          <w:sz w:val="24"/>
          <w:szCs w:val="24"/>
        </w:rPr>
        <w:t>Renneboog</w:t>
      </w:r>
      <w:proofErr w:type="spellEnd"/>
      <w:r w:rsidR="00BE5C04" w:rsidRPr="00BE5C04">
        <w:rPr>
          <w:rFonts w:asciiTheme="majorBidi" w:hAnsiTheme="majorBidi" w:cstheme="majorBidi"/>
          <w:sz w:val="24"/>
          <w:szCs w:val="24"/>
        </w:rPr>
        <w:t xml:space="preserve"> (2016) and Apergis, Filippidis, and Shabani (2022)</w:t>
      </w:r>
      <w:r w:rsidR="00BE5C04">
        <w:rPr>
          <w:rFonts w:asciiTheme="majorBidi" w:hAnsiTheme="majorBidi" w:cstheme="majorBidi"/>
          <w:sz w:val="24"/>
          <w:szCs w:val="24"/>
        </w:rPr>
        <w:t xml:space="preserve">) </w:t>
      </w:r>
      <w:r w:rsidR="003F1FF4" w:rsidRPr="0093413E">
        <w:rPr>
          <w:rFonts w:asciiTheme="majorBidi" w:hAnsiTheme="majorBidi" w:cstheme="majorBidi"/>
          <w:sz w:val="24"/>
          <w:szCs w:val="24"/>
        </w:rPr>
        <w:t xml:space="preserve">at the 1 percent level, indicating that more robust performance in social categories like workforce management, human rights, community engagement, and product responsibility is associated with </w:t>
      </w:r>
      <w:r w:rsidR="00B42E6B" w:rsidRPr="0093413E">
        <w:rPr>
          <w:rFonts w:asciiTheme="majorBidi" w:hAnsiTheme="majorBidi" w:cstheme="majorBidi"/>
          <w:sz w:val="24"/>
          <w:szCs w:val="24"/>
        </w:rPr>
        <w:t>lower</w:t>
      </w:r>
      <w:r w:rsidR="003F1FF4" w:rsidRPr="0093413E">
        <w:rPr>
          <w:rFonts w:asciiTheme="majorBidi" w:hAnsiTheme="majorBidi" w:cstheme="majorBidi"/>
          <w:sz w:val="24"/>
          <w:szCs w:val="24"/>
        </w:rPr>
        <w:t xml:space="preserve"> </w:t>
      </w:r>
      <w:r w:rsidR="00B42E6B" w:rsidRPr="0093413E">
        <w:rPr>
          <w:rFonts w:asciiTheme="majorBidi" w:hAnsiTheme="majorBidi" w:cstheme="majorBidi"/>
          <w:sz w:val="24"/>
          <w:szCs w:val="24"/>
          <w14:ligatures w14:val="none"/>
        </w:rPr>
        <w:t>Yield Spread</w:t>
      </w:r>
      <w:r w:rsidR="003F1FF4" w:rsidRPr="0093413E">
        <w:rPr>
          <w:rFonts w:asciiTheme="majorBidi" w:hAnsiTheme="majorBidi" w:cstheme="majorBidi"/>
          <w:sz w:val="24"/>
          <w:szCs w:val="24"/>
        </w:rPr>
        <w:t xml:space="preserve">. </w:t>
      </w:r>
      <w:r w:rsidR="00C76398" w:rsidRPr="0093413E">
        <w:rPr>
          <w:rFonts w:asciiTheme="majorBidi" w:hAnsiTheme="majorBidi" w:cstheme="majorBidi"/>
          <w:sz w:val="24"/>
          <w:szCs w:val="24"/>
        </w:rPr>
        <w:t>In addition</w:t>
      </w:r>
      <w:r w:rsidR="003F1FF4" w:rsidRPr="0093413E">
        <w:rPr>
          <w:rFonts w:asciiTheme="majorBidi" w:hAnsiTheme="majorBidi" w:cstheme="majorBidi"/>
          <w:sz w:val="24"/>
          <w:szCs w:val="24"/>
        </w:rPr>
        <w:t xml:space="preserve">, the coefficient for the Environmental Pillar is negative </w:t>
      </w:r>
      <w:r w:rsidR="00C76398" w:rsidRPr="0093413E">
        <w:rPr>
          <w:rFonts w:asciiTheme="majorBidi" w:hAnsiTheme="majorBidi" w:cstheme="majorBidi"/>
          <w:sz w:val="24"/>
          <w:szCs w:val="24"/>
        </w:rPr>
        <w:t>and</w:t>
      </w:r>
      <w:r w:rsidR="003F1FF4" w:rsidRPr="0093413E">
        <w:rPr>
          <w:rFonts w:asciiTheme="majorBidi" w:hAnsiTheme="majorBidi" w:cstheme="majorBidi"/>
          <w:sz w:val="24"/>
          <w:szCs w:val="24"/>
        </w:rPr>
        <w:t xml:space="preserve"> statistically significant. This result suggests that environmental performance, as defined by resource use, emissions management, and environmental innovation, does significantly impact the </w:t>
      </w:r>
      <w:r w:rsidR="00C76398" w:rsidRPr="0093413E">
        <w:rPr>
          <w:rFonts w:asciiTheme="majorBidi" w:hAnsiTheme="majorBidi" w:cstheme="majorBidi"/>
          <w:sz w:val="24"/>
          <w:szCs w:val="24"/>
          <w14:ligatures w14:val="none"/>
        </w:rPr>
        <w:t>Yield Spread</w:t>
      </w:r>
      <w:r w:rsidR="00227B08">
        <w:rPr>
          <w:rFonts w:asciiTheme="majorBidi" w:hAnsiTheme="majorBidi" w:cstheme="majorBidi"/>
          <w:sz w:val="24"/>
          <w:szCs w:val="24"/>
          <w14:ligatures w14:val="none"/>
        </w:rPr>
        <w:t xml:space="preserve"> (</w:t>
      </w:r>
      <w:r w:rsidR="00227B08">
        <w:t>Chava (2014)</w:t>
      </w:r>
      <w:r w:rsidR="003F1FF4" w:rsidRPr="0093413E">
        <w:rPr>
          <w:rFonts w:asciiTheme="majorBidi" w:hAnsiTheme="majorBidi" w:cstheme="majorBidi"/>
          <w:sz w:val="24"/>
          <w:szCs w:val="24"/>
        </w:rPr>
        <w:t>.</w:t>
      </w:r>
    </w:p>
    <w:p w14:paraId="505C775B" w14:textId="1C6E6F5F" w:rsidR="00695058" w:rsidRPr="0093413E" w:rsidRDefault="00695058" w:rsidP="005853BF">
      <w:pPr>
        <w:widowControl/>
        <w:autoSpaceDE/>
        <w:autoSpaceDN/>
        <w:ind w:firstLine="432"/>
        <w:jc w:val="both"/>
        <w:rPr>
          <w:rFonts w:asciiTheme="majorBidi" w:hAnsiTheme="majorBidi" w:cstheme="majorBidi"/>
          <w:sz w:val="24"/>
          <w:szCs w:val="24"/>
        </w:rPr>
      </w:pPr>
      <w:r w:rsidRPr="0093413E">
        <w:rPr>
          <w:rFonts w:asciiTheme="majorBidi" w:hAnsiTheme="majorBidi" w:cstheme="majorBidi"/>
          <w:sz w:val="24"/>
          <w:szCs w:val="24"/>
        </w:rPr>
        <w:t>The coefficient</w:t>
      </w:r>
      <w:r w:rsidR="00A450BD" w:rsidRPr="0093413E">
        <w:rPr>
          <w:rFonts w:asciiTheme="majorBidi" w:hAnsiTheme="majorBidi" w:cstheme="majorBidi"/>
          <w:sz w:val="24"/>
          <w:szCs w:val="24"/>
        </w:rPr>
        <w:t>s</w:t>
      </w:r>
      <w:r w:rsidRPr="0093413E">
        <w:rPr>
          <w:rFonts w:asciiTheme="majorBidi" w:hAnsiTheme="majorBidi" w:cstheme="majorBidi"/>
          <w:sz w:val="24"/>
          <w:szCs w:val="24"/>
        </w:rPr>
        <w:t xml:space="preserve"> for Firm Size</w:t>
      </w:r>
      <w:r w:rsidR="00A450BD" w:rsidRPr="0093413E">
        <w:rPr>
          <w:rFonts w:asciiTheme="majorBidi" w:hAnsiTheme="majorBidi" w:cstheme="majorBidi"/>
          <w:sz w:val="24"/>
          <w:szCs w:val="24"/>
        </w:rPr>
        <w:t>,</w:t>
      </w:r>
      <w:r w:rsidR="00C1653D" w:rsidRPr="0093413E">
        <w:rPr>
          <w:rFonts w:asciiTheme="majorBidi" w:hAnsiTheme="majorBidi" w:cstheme="majorBidi"/>
          <w:sz w:val="24"/>
          <w:szCs w:val="24"/>
        </w:rPr>
        <w:t xml:space="preserve"> Return on Assets</w:t>
      </w:r>
      <w:r w:rsidRPr="0093413E">
        <w:rPr>
          <w:rFonts w:asciiTheme="majorBidi" w:hAnsiTheme="majorBidi" w:cstheme="majorBidi"/>
          <w:sz w:val="24"/>
          <w:szCs w:val="24"/>
        </w:rPr>
        <w:t xml:space="preserve"> </w:t>
      </w:r>
      <w:r w:rsidR="00C1653D" w:rsidRPr="0093413E">
        <w:rPr>
          <w:rFonts w:asciiTheme="majorBidi" w:hAnsiTheme="majorBidi" w:cstheme="majorBidi"/>
          <w:sz w:val="24"/>
          <w:szCs w:val="24"/>
        </w:rPr>
        <w:t>are</w:t>
      </w:r>
      <w:r w:rsidRPr="0093413E">
        <w:rPr>
          <w:rFonts w:asciiTheme="majorBidi" w:hAnsiTheme="majorBidi" w:cstheme="majorBidi"/>
          <w:sz w:val="24"/>
          <w:szCs w:val="24"/>
        </w:rPr>
        <w:t xml:space="preserve"> </w:t>
      </w:r>
      <w:r w:rsidR="00A450BD" w:rsidRPr="0093413E">
        <w:rPr>
          <w:rFonts w:asciiTheme="majorBidi" w:hAnsiTheme="majorBidi" w:cstheme="majorBidi"/>
          <w:sz w:val="24"/>
          <w:szCs w:val="24"/>
        </w:rPr>
        <w:t>negative</w:t>
      </w:r>
      <w:r w:rsidRPr="0093413E">
        <w:rPr>
          <w:rFonts w:asciiTheme="majorBidi" w:hAnsiTheme="majorBidi" w:cstheme="majorBidi"/>
          <w:sz w:val="24"/>
          <w:szCs w:val="24"/>
        </w:rPr>
        <w:t xml:space="preserve"> and significant</w:t>
      </w:r>
      <w:r w:rsidR="003B085D">
        <w:rPr>
          <w:rFonts w:asciiTheme="majorBidi" w:hAnsiTheme="majorBidi" w:cstheme="majorBidi"/>
          <w:sz w:val="24"/>
          <w:szCs w:val="24"/>
        </w:rPr>
        <w:t>(</w:t>
      </w:r>
      <w:r w:rsidR="003B085D">
        <w:t>Menz (2010) and Attig et al. (2013</w:t>
      </w:r>
      <w:r w:rsidR="003B085D">
        <w:rPr>
          <w:rFonts w:asciiTheme="majorBidi" w:hAnsiTheme="majorBidi" w:cstheme="majorBidi"/>
          <w:sz w:val="24"/>
          <w:szCs w:val="24"/>
        </w:rPr>
        <w:t>)</w:t>
      </w:r>
      <w:r w:rsidRPr="0093413E">
        <w:rPr>
          <w:rFonts w:asciiTheme="majorBidi" w:hAnsiTheme="majorBidi" w:cstheme="majorBidi"/>
          <w:sz w:val="24"/>
          <w:szCs w:val="24"/>
        </w:rPr>
        <w:t xml:space="preserve">, indicating that larger </w:t>
      </w:r>
      <w:r w:rsidR="00126646" w:rsidRPr="0093413E">
        <w:rPr>
          <w:rFonts w:asciiTheme="majorBidi" w:hAnsiTheme="majorBidi" w:cstheme="majorBidi"/>
          <w:sz w:val="24"/>
          <w:szCs w:val="24"/>
        </w:rPr>
        <w:t xml:space="preserve">and profitable firms </w:t>
      </w:r>
      <w:r w:rsidRPr="0093413E">
        <w:rPr>
          <w:rFonts w:asciiTheme="majorBidi" w:hAnsiTheme="majorBidi" w:cstheme="majorBidi"/>
          <w:sz w:val="24"/>
          <w:szCs w:val="24"/>
        </w:rPr>
        <w:t xml:space="preserve">tend to experience lower </w:t>
      </w:r>
      <w:r w:rsidR="00D90D9F" w:rsidRPr="0093413E">
        <w:rPr>
          <w:rFonts w:asciiTheme="majorBidi" w:hAnsiTheme="majorBidi" w:cstheme="majorBidi"/>
          <w:sz w:val="24"/>
          <w:szCs w:val="24"/>
        </w:rPr>
        <w:t>cost of Debt</w:t>
      </w:r>
      <w:r w:rsidRPr="0093413E">
        <w:rPr>
          <w:rFonts w:asciiTheme="majorBidi" w:hAnsiTheme="majorBidi" w:cstheme="majorBidi"/>
          <w:sz w:val="24"/>
          <w:szCs w:val="24"/>
        </w:rPr>
        <w:t xml:space="preserve">. Firms with higher </w:t>
      </w:r>
      <w:r w:rsidR="00832BE6" w:rsidRPr="0093413E">
        <w:rPr>
          <w:rFonts w:asciiTheme="majorBidi" w:hAnsiTheme="majorBidi" w:cstheme="majorBidi"/>
          <w:sz w:val="24"/>
          <w:szCs w:val="24"/>
        </w:rPr>
        <w:t>Leverage</w:t>
      </w:r>
      <w:r w:rsidRPr="0093413E">
        <w:rPr>
          <w:rFonts w:asciiTheme="majorBidi" w:hAnsiTheme="majorBidi" w:cstheme="majorBidi"/>
          <w:sz w:val="24"/>
          <w:szCs w:val="24"/>
        </w:rPr>
        <w:t xml:space="preserve"> experience </w:t>
      </w:r>
      <w:r w:rsidR="00832BE6" w:rsidRPr="0093413E">
        <w:rPr>
          <w:rFonts w:asciiTheme="majorBidi" w:hAnsiTheme="majorBidi" w:cstheme="majorBidi"/>
          <w:sz w:val="24"/>
          <w:szCs w:val="24"/>
        </w:rPr>
        <w:t xml:space="preserve">higher </w:t>
      </w:r>
      <w:r w:rsidR="00832BE6" w:rsidRPr="0093413E">
        <w:rPr>
          <w:rFonts w:asciiTheme="majorBidi" w:hAnsiTheme="majorBidi" w:cstheme="majorBidi"/>
          <w:sz w:val="24"/>
          <w:szCs w:val="24"/>
          <w14:ligatures w14:val="none"/>
        </w:rPr>
        <w:t>cost of Deb, due to the increase of default probability</w:t>
      </w:r>
      <w:r w:rsidRPr="0093413E">
        <w:rPr>
          <w:rFonts w:asciiTheme="majorBidi" w:hAnsiTheme="majorBidi" w:cstheme="majorBidi"/>
          <w:sz w:val="24"/>
          <w:szCs w:val="24"/>
        </w:rPr>
        <w:t xml:space="preserve">. Leverage has a negative coefficient, yet it is not statistically significant. </w:t>
      </w:r>
      <w:r w:rsidR="00393776" w:rsidRPr="0093413E">
        <w:rPr>
          <w:rFonts w:asciiTheme="majorBidi" w:hAnsiTheme="majorBidi" w:cstheme="majorBidi"/>
          <w:sz w:val="24"/>
          <w:szCs w:val="24"/>
        </w:rPr>
        <w:t>The offer characteristics also impact the cost of debt</w:t>
      </w:r>
      <w:r w:rsidR="0076705C" w:rsidRPr="0093413E">
        <w:rPr>
          <w:rFonts w:asciiTheme="majorBidi" w:hAnsiTheme="majorBidi" w:cstheme="majorBidi"/>
          <w:sz w:val="24"/>
          <w:szCs w:val="24"/>
        </w:rPr>
        <w:t xml:space="preserve">. </w:t>
      </w:r>
      <w:r w:rsidR="00393776" w:rsidRPr="0093413E">
        <w:rPr>
          <w:rFonts w:asciiTheme="majorBidi" w:hAnsiTheme="majorBidi" w:cstheme="majorBidi"/>
          <w:sz w:val="24"/>
          <w:szCs w:val="24"/>
        </w:rPr>
        <w:t xml:space="preserve"> </w:t>
      </w:r>
      <w:r w:rsidRPr="0093413E">
        <w:rPr>
          <w:rFonts w:asciiTheme="majorBidi" w:hAnsiTheme="majorBidi" w:cstheme="majorBidi"/>
          <w:sz w:val="24"/>
          <w:szCs w:val="24"/>
        </w:rPr>
        <w:t>The coefficient</w:t>
      </w:r>
      <w:r w:rsidR="00AF0C4C" w:rsidRPr="0093413E">
        <w:rPr>
          <w:rFonts w:asciiTheme="majorBidi" w:hAnsiTheme="majorBidi" w:cstheme="majorBidi"/>
          <w:sz w:val="24"/>
          <w:szCs w:val="24"/>
        </w:rPr>
        <w:t>s</w:t>
      </w:r>
      <w:r w:rsidRPr="0093413E">
        <w:rPr>
          <w:rFonts w:asciiTheme="majorBidi" w:hAnsiTheme="majorBidi" w:cstheme="majorBidi"/>
          <w:sz w:val="24"/>
          <w:szCs w:val="24"/>
        </w:rPr>
        <w:t xml:space="preserve"> for </w:t>
      </w:r>
      <w:r w:rsidR="0076705C" w:rsidRPr="0093413E">
        <w:rPr>
          <w:rFonts w:asciiTheme="majorBidi" w:hAnsiTheme="majorBidi" w:cstheme="majorBidi"/>
          <w:sz w:val="24"/>
          <w:szCs w:val="24"/>
        </w:rPr>
        <w:t xml:space="preserve">Moody's Rating and </w:t>
      </w:r>
      <w:r w:rsidR="00AF0C4C" w:rsidRPr="0093413E">
        <w:rPr>
          <w:rFonts w:asciiTheme="majorBidi" w:hAnsiTheme="majorBidi" w:cstheme="majorBidi"/>
          <w:sz w:val="24"/>
          <w:szCs w:val="24"/>
        </w:rPr>
        <w:t>Duration</w:t>
      </w:r>
      <w:r w:rsidRPr="0093413E">
        <w:rPr>
          <w:rFonts w:asciiTheme="majorBidi" w:hAnsiTheme="majorBidi" w:cstheme="majorBidi"/>
          <w:sz w:val="24"/>
          <w:szCs w:val="24"/>
        </w:rPr>
        <w:t xml:space="preserve"> </w:t>
      </w:r>
      <w:r w:rsidR="00AF0C4C" w:rsidRPr="0093413E">
        <w:rPr>
          <w:rFonts w:asciiTheme="majorBidi" w:hAnsiTheme="majorBidi" w:cstheme="majorBidi"/>
          <w:sz w:val="24"/>
          <w:szCs w:val="24"/>
        </w:rPr>
        <w:t>are</w:t>
      </w:r>
      <w:r w:rsidRPr="0093413E">
        <w:rPr>
          <w:rFonts w:asciiTheme="majorBidi" w:hAnsiTheme="majorBidi" w:cstheme="majorBidi"/>
          <w:sz w:val="24"/>
          <w:szCs w:val="24"/>
        </w:rPr>
        <w:t xml:space="preserve"> negative and significant, </w:t>
      </w:r>
      <w:r w:rsidR="00AF0C4C" w:rsidRPr="0093413E">
        <w:rPr>
          <w:rFonts w:asciiTheme="majorBidi" w:hAnsiTheme="majorBidi" w:cstheme="majorBidi"/>
          <w:sz w:val="24"/>
          <w:szCs w:val="24"/>
        </w:rPr>
        <w:t xml:space="preserve">and </w:t>
      </w:r>
      <w:r w:rsidR="00B030B3" w:rsidRPr="0093413E">
        <w:rPr>
          <w:rFonts w:asciiTheme="majorBidi" w:hAnsiTheme="majorBidi" w:cstheme="majorBidi"/>
          <w:sz w:val="24"/>
          <w:szCs w:val="24"/>
        </w:rPr>
        <w:t>the</w:t>
      </w:r>
      <w:r w:rsidR="00AF0C4C" w:rsidRPr="0093413E">
        <w:rPr>
          <w:rFonts w:asciiTheme="majorBidi" w:hAnsiTheme="majorBidi" w:cstheme="majorBidi"/>
          <w:sz w:val="24"/>
          <w:szCs w:val="24"/>
        </w:rPr>
        <w:t xml:space="preserve"> </w:t>
      </w:r>
      <w:r w:rsidR="004F0B3E" w:rsidRPr="0093413E">
        <w:rPr>
          <w:rFonts w:asciiTheme="majorBidi" w:hAnsiTheme="majorBidi" w:cstheme="majorBidi"/>
          <w:sz w:val="24"/>
          <w:szCs w:val="24"/>
        </w:rPr>
        <w:t>coefficient</w:t>
      </w:r>
      <w:r w:rsidR="00AF0C4C" w:rsidRPr="0093413E">
        <w:rPr>
          <w:rFonts w:asciiTheme="majorBidi" w:hAnsiTheme="majorBidi" w:cstheme="majorBidi"/>
          <w:sz w:val="24"/>
          <w:szCs w:val="24"/>
        </w:rPr>
        <w:t xml:space="preserve"> for </w:t>
      </w:r>
      <w:r w:rsidR="00330566" w:rsidRPr="0093413E">
        <w:rPr>
          <w:rFonts w:asciiTheme="majorBidi" w:hAnsiTheme="majorBidi" w:cstheme="majorBidi"/>
          <w:sz w:val="24"/>
          <w:szCs w:val="24"/>
        </w:rPr>
        <w:t>Maturity is positive as predicted</w:t>
      </w:r>
      <w:r w:rsidRPr="0093413E">
        <w:rPr>
          <w:rFonts w:asciiTheme="majorBidi" w:hAnsiTheme="majorBidi" w:cstheme="majorBidi"/>
          <w:sz w:val="24"/>
          <w:szCs w:val="24"/>
        </w:rPr>
        <w:t xml:space="preserve">. </w:t>
      </w:r>
      <w:r w:rsidR="00F731B9">
        <w:t>similar to the f Howton et al. (1998) and Ferrell et al. (2016) results ,</w:t>
      </w:r>
      <w:r w:rsidR="00F731B9">
        <w:rPr>
          <w:rFonts w:asciiTheme="majorBidi" w:hAnsiTheme="majorBidi" w:cstheme="majorBidi"/>
          <w:sz w:val="24"/>
          <w:szCs w:val="24"/>
        </w:rPr>
        <w:t>t</w:t>
      </w:r>
      <w:r w:rsidR="00B030B3" w:rsidRPr="0093413E">
        <w:rPr>
          <w:rFonts w:asciiTheme="majorBidi" w:hAnsiTheme="majorBidi" w:cstheme="majorBidi"/>
          <w:sz w:val="24"/>
          <w:szCs w:val="24"/>
        </w:rPr>
        <w:t>he</w:t>
      </w:r>
      <w:r w:rsidRPr="0093413E">
        <w:rPr>
          <w:rFonts w:asciiTheme="majorBidi" w:hAnsiTheme="majorBidi" w:cstheme="majorBidi"/>
          <w:sz w:val="24"/>
          <w:szCs w:val="24"/>
        </w:rPr>
        <w:t xml:space="preserve"> coefficient for </w:t>
      </w:r>
      <w:r w:rsidR="00AF005D" w:rsidRPr="0093413E">
        <w:rPr>
          <w:rFonts w:asciiTheme="majorBidi" w:hAnsiTheme="majorBidi" w:cstheme="majorBidi"/>
          <w:sz w:val="24"/>
          <w:szCs w:val="24"/>
        </w:rPr>
        <w:t>Issue Relative Size</w:t>
      </w:r>
      <w:r w:rsidRPr="0093413E">
        <w:rPr>
          <w:rFonts w:asciiTheme="majorBidi" w:hAnsiTheme="majorBidi" w:cstheme="majorBidi"/>
          <w:sz w:val="24"/>
          <w:szCs w:val="24"/>
        </w:rPr>
        <w:t xml:space="preserve"> </w:t>
      </w:r>
      <w:r w:rsidR="00B030B3" w:rsidRPr="0093413E">
        <w:rPr>
          <w:rFonts w:asciiTheme="majorBidi" w:hAnsiTheme="majorBidi" w:cstheme="majorBidi"/>
          <w:sz w:val="24"/>
          <w:szCs w:val="24"/>
        </w:rPr>
        <w:t>and</w:t>
      </w:r>
      <w:r w:rsidR="00AF005D" w:rsidRPr="0093413E">
        <w:rPr>
          <w:rFonts w:asciiTheme="majorBidi" w:hAnsiTheme="majorBidi" w:cstheme="majorBidi"/>
          <w:sz w:val="24"/>
          <w:szCs w:val="24"/>
        </w:rPr>
        <w:t xml:space="preserve"> Big4 </w:t>
      </w:r>
      <w:r w:rsidR="00B030B3" w:rsidRPr="0093413E">
        <w:rPr>
          <w:rFonts w:asciiTheme="majorBidi" w:hAnsiTheme="majorBidi" w:cstheme="majorBidi"/>
          <w:sz w:val="24"/>
          <w:szCs w:val="24"/>
        </w:rPr>
        <w:t xml:space="preserve">are </w:t>
      </w:r>
      <w:r w:rsidRPr="0093413E">
        <w:rPr>
          <w:rFonts w:asciiTheme="majorBidi" w:hAnsiTheme="majorBidi" w:cstheme="majorBidi"/>
          <w:sz w:val="24"/>
          <w:szCs w:val="24"/>
        </w:rPr>
        <w:t xml:space="preserve">not statistically significant. Overall, the results in Table </w:t>
      </w:r>
      <w:r w:rsidR="00984380" w:rsidRPr="0093413E">
        <w:rPr>
          <w:rFonts w:asciiTheme="majorBidi" w:hAnsiTheme="majorBidi" w:cstheme="majorBidi"/>
          <w:sz w:val="24"/>
          <w:szCs w:val="24"/>
        </w:rPr>
        <w:t>4</w:t>
      </w:r>
      <w:r w:rsidRPr="0093413E">
        <w:rPr>
          <w:rFonts w:asciiTheme="majorBidi" w:hAnsiTheme="majorBidi" w:cstheme="majorBidi"/>
          <w:sz w:val="24"/>
          <w:szCs w:val="24"/>
        </w:rPr>
        <w:t xml:space="preserve"> indicate that </w:t>
      </w:r>
      <w:r w:rsidR="003C4776" w:rsidRPr="0093413E">
        <w:rPr>
          <w:rFonts w:asciiTheme="majorBidi" w:hAnsiTheme="majorBidi" w:cstheme="majorBidi"/>
          <w:sz w:val="24"/>
          <w:szCs w:val="24"/>
        </w:rPr>
        <w:t xml:space="preserve">firms with a better ESG performance </w:t>
      </w:r>
      <w:r w:rsidR="004F0B3E" w:rsidRPr="0093413E">
        <w:rPr>
          <w:rFonts w:asciiTheme="majorBidi" w:hAnsiTheme="majorBidi" w:cstheme="majorBidi"/>
          <w:sz w:val="24"/>
          <w:szCs w:val="24"/>
        </w:rPr>
        <w:t xml:space="preserve">realized </w:t>
      </w:r>
      <w:r w:rsidR="003C4776" w:rsidRPr="0093413E">
        <w:rPr>
          <w:rFonts w:asciiTheme="majorBidi" w:hAnsiTheme="majorBidi" w:cstheme="majorBidi"/>
          <w:sz w:val="24"/>
          <w:szCs w:val="24"/>
        </w:rPr>
        <w:t xml:space="preserve">lower cost of Debt. </w:t>
      </w:r>
    </w:p>
    <w:p w14:paraId="41BDF097" w14:textId="1FBC5F3D" w:rsidR="002C248E" w:rsidRPr="0093413E" w:rsidRDefault="00695058" w:rsidP="005853BF">
      <w:pPr>
        <w:widowControl/>
        <w:autoSpaceDE/>
        <w:autoSpaceDN/>
        <w:ind w:firstLine="432"/>
        <w:jc w:val="both"/>
        <w:rPr>
          <w:rFonts w:asciiTheme="majorBidi" w:hAnsiTheme="majorBidi" w:cstheme="majorBidi"/>
          <w:sz w:val="24"/>
          <w:szCs w:val="24"/>
        </w:rPr>
      </w:pPr>
      <w:r w:rsidRPr="0093413E">
        <w:rPr>
          <w:rFonts w:asciiTheme="majorBidi" w:hAnsiTheme="majorBidi" w:cstheme="majorBidi"/>
          <w:sz w:val="24"/>
          <w:szCs w:val="24"/>
        </w:rPr>
        <w:t xml:space="preserve">Table </w:t>
      </w:r>
      <w:r w:rsidR="00881767" w:rsidRPr="0093413E">
        <w:rPr>
          <w:rFonts w:asciiTheme="majorBidi" w:hAnsiTheme="majorBidi" w:cstheme="majorBidi"/>
          <w:sz w:val="24"/>
          <w:szCs w:val="24"/>
        </w:rPr>
        <w:t>5</w:t>
      </w:r>
      <w:r w:rsidRPr="0093413E">
        <w:rPr>
          <w:rFonts w:asciiTheme="majorBidi" w:hAnsiTheme="majorBidi" w:cstheme="majorBidi"/>
          <w:sz w:val="24"/>
          <w:szCs w:val="24"/>
        </w:rPr>
        <w:t xml:space="preserve"> shows the regression results examining the relationship between </w:t>
      </w:r>
      <w:r w:rsidR="007204AA" w:rsidRPr="0093413E">
        <w:rPr>
          <w:rFonts w:asciiTheme="majorBidi" w:hAnsiTheme="majorBidi" w:cstheme="majorBidi"/>
          <w:sz w:val="24"/>
          <w:szCs w:val="24"/>
        </w:rPr>
        <w:t>Bond</w:t>
      </w:r>
      <w:r w:rsidR="008E6461" w:rsidRPr="0093413E">
        <w:rPr>
          <w:rFonts w:asciiTheme="majorBidi" w:hAnsiTheme="majorBidi" w:cstheme="majorBidi"/>
          <w:sz w:val="24"/>
          <w:szCs w:val="24"/>
        </w:rPr>
        <w:t xml:space="preserve"> Ratings</w:t>
      </w:r>
      <w:r w:rsidRPr="0093413E">
        <w:rPr>
          <w:rFonts w:asciiTheme="majorBidi" w:hAnsiTheme="majorBidi" w:cstheme="majorBidi"/>
          <w:sz w:val="24"/>
          <w:szCs w:val="24"/>
        </w:rPr>
        <w:t xml:space="preserve"> and the explanatory and control variables. Both the ESG combined and ESG scores show a significant </w:t>
      </w:r>
      <w:r w:rsidR="00B667EE" w:rsidRPr="0093413E">
        <w:rPr>
          <w:rFonts w:asciiTheme="majorBidi" w:hAnsiTheme="majorBidi" w:cstheme="majorBidi"/>
          <w:sz w:val="24"/>
          <w:szCs w:val="24"/>
        </w:rPr>
        <w:t>positive</w:t>
      </w:r>
      <w:r w:rsidRPr="0093413E">
        <w:rPr>
          <w:rFonts w:asciiTheme="majorBidi" w:hAnsiTheme="majorBidi" w:cstheme="majorBidi"/>
          <w:sz w:val="24"/>
          <w:szCs w:val="24"/>
        </w:rPr>
        <w:t xml:space="preserve"> relation</w:t>
      </w:r>
      <w:r w:rsidR="00840EBA">
        <w:rPr>
          <w:rFonts w:asciiTheme="majorBidi" w:hAnsiTheme="majorBidi" w:cstheme="majorBidi"/>
          <w:sz w:val="24"/>
          <w:szCs w:val="24"/>
        </w:rPr>
        <w:t xml:space="preserve"> (</w:t>
      </w:r>
      <w:r w:rsidR="00840EBA">
        <w:t>Attig et al. (2013) and Oikonomou et al. (2014)</w:t>
      </w:r>
      <w:r w:rsidRPr="0093413E">
        <w:rPr>
          <w:rFonts w:asciiTheme="majorBidi" w:hAnsiTheme="majorBidi" w:cstheme="majorBidi"/>
          <w:sz w:val="24"/>
          <w:szCs w:val="24"/>
        </w:rPr>
        <w:t xml:space="preserve">. This confirms hypothesis 2 that better ESG performance is associated with </w:t>
      </w:r>
      <w:r w:rsidR="007204AA" w:rsidRPr="0093413E">
        <w:rPr>
          <w:rFonts w:asciiTheme="majorBidi" w:hAnsiTheme="majorBidi" w:cstheme="majorBidi"/>
          <w:sz w:val="24"/>
          <w:szCs w:val="24"/>
        </w:rPr>
        <w:t>higher</w:t>
      </w:r>
      <w:r w:rsidRPr="0093413E">
        <w:rPr>
          <w:rFonts w:asciiTheme="majorBidi" w:hAnsiTheme="majorBidi" w:cstheme="majorBidi"/>
          <w:sz w:val="24"/>
          <w:szCs w:val="24"/>
        </w:rPr>
        <w:t xml:space="preserve"> </w:t>
      </w:r>
      <w:r w:rsidR="007204AA" w:rsidRPr="0093413E">
        <w:rPr>
          <w:rFonts w:asciiTheme="majorBidi" w:hAnsiTheme="majorBidi" w:cstheme="majorBidi"/>
          <w:sz w:val="24"/>
          <w:szCs w:val="24"/>
        </w:rPr>
        <w:t>Bond Ratings</w:t>
      </w:r>
      <w:r w:rsidRPr="0093413E">
        <w:rPr>
          <w:rFonts w:asciiTheme="majorBidi" w:hAnsiTheme="majorBidi" w:cstheme="majorBidi"/>
          <w:sz w:val="24"/>
          <w:szCs w:val="24"/>
        </w:rPr>
        <w:t xml:space="preserve">. </w:t>
      </w:r>
      <w:r w:rsidR="00EB70BC" w:rsidRPr="0093413E">
        <w:rPr>
          <w:rFonts w:asciiTheme="majorBidi" w:hAnsiTheme="majorBidi" w:cstheme="majorBidi"/>
          <w:sz w:val="24"/>
          <w:szCs w:val="24"/>
        </w:rPr>
        <w:t xml:space="preserve"> </w:t>
      </w:r>
      <w:r w:rsidR="002D36AC" w:rsidRPr="0093413E">
        <w:rPr>
          <w:rFonts w:asciiTheme="majorBidi" w:hAnsiTheme="majorBidi" w:cstheme="majorBidi"/>
          <w:sz w:val="24"/>
          <w:szCs w:val="24"/>
        </w:rPr>
        <w:t xml:space="preserve">The coefficients for Firm Size, Return on Assets </w:t>
      </w:r>
      <w:r w:rsidR="000D6117" w:rsidRPr="0093413E">
        <w:rPr>
          <w:rFonts w:asciiTheme="majorBidi" w:hAnsiTheme="majorBidi" w:cstheme="majorBidi"/>
          <w:sz w:val="24"/>
          <w:szCs w:val="24"/>
        </w:rPr>
        <w:t xml:space="preserve">and </w:t>
      </w:r>
      <w:r w:rsidR="002D36AC" w:rsidRPr="0093413E">
        <w:rPr>
          <w:rFonts w:asciiTheme="majorBidi" w:hAnsiTheme="majorBidi" w:cstheme="majorBidi"/>
          <w:sz w:val="24"/>
          <w:szCs w:val="24"/>
        </w:rPr>
        <w:t>Big4</w:t>
      </w:r>
      <w:r w:rsidR="000D6117" w:rsidRPr="0093413E">
        <w:rPr>
          <w:rFonts w:asciiTheme="majorBidi" w:hAnsiTheme="majorBidi" w:cstheme="majorBidi"/>
          <w:sz w:val="24"/>
          <w:szCs w:val="24"/>
        </w:rPr>
        <w:t xml:space="preserve"> </w:t>
      </w:r>
      <w:r w:rsidR="002D36AC" w:rsidRPr="0093413E">
        <w:rPr>
          <w:rFonts w:asciiTheme="majorBidi" w:hAnsiTheme="majorBidi" w:cstheme="majorBidi"/>
          <w:sz w:val="24"/>
          <w:szCs w:val="24"/>
        </w:rPr>
        <w:t xml:space="preserve">are </w:t>
      </w:r>
      <w:r w:rsidR="0041618C" w:rsidRPr="0093413E">
        <w:rPr>
          <w:rFonts w:asciiTheme="majorBidi" w:hAnsiTheme="majorBidi" w:cstheme="majorBidi"/>
          <w:sz w:val="24"/>
          <w:szCs w:val="24"/>
        </w:rPr>
        <w:t>positive</w:t>
      </w:r>
      <w:r w:rsidR="002D36AC" w:rsidRPr="0093413E">
        <w:rPr>
          <w:rFonts w:asciiTheme="majorBidi" w:hAnsiTheme="majorBidi" w:cstheme="majorBidi"/>
          <w:sz w:val="24"/>
          <w:szCs w:val="24"/>
        </w:rPr>
        <w:t xml:space="preserve"> and significant</w:t>
      </w:r>
      <w:r w:rsidR="00F7679A">
        <w:rPr>
          <w:rFonts w:asciiTheme="majorBidi" w:hAnsiTheme="majorBidi" w:cstheme="majorBidi"/>
          <w:sz w:val="24"/>
          <w:szCs w:val="24"/>
        </w:rPr>
        <w:t xml:space="preserve"> (</w:t>
      </w:r>
      <w:r w:rsidR="00F7679A" w:rsidRPr="00F7679A">
        <w:rPr>
          <w:rFonts w:asciiTheme="majorBidi" w:hAnsiTheme="majorBidi" w:cstheme="majorBidi"/>
          <w:sz w:val="24"/>
          <w:szCs w:val="24"/>
        </w:rPr>
        <w:t>Menz (2010) and Goss and Roberts (2011)</w:t>
      </w:r>
      <w:r w:rsidR="00F7679A">
        <w:rPr>
          <w:rFonts w:asciiTheme="majorBidi" w:hAnsiTheme="majorBidi" w:cstheme="majorBidi"/>
          <w:sz w:val="24"/>
          <w:szCs w:val="24"/>
        </w:rPr>
        <w:t>)</w:t>
      </w:r>
      <w:r w:rsidR="002D36AC" w:rsidRPr="0093413E">
        <w:rPr>
          <w:rFonts w:asciiTheme="majorBidi" w:hAnsiTheme="majorBidi" w:cstheme="majorBidi"/>
          <w:sz w:val="24"/>
          <w:szCs w:val="24"/>
        </w:rPr>
        <w:t xml:space="preserve">, indicating that </w:t>
      </w:r>
      <w:proofErr w:type="gramStart"/>
      <w:r w:rsidR="002D36AC" w:rsidRPr="0093413E">
        <w:rPr>
          <w:rFonts w:asciiTheme="majorBidi" w:hAnsiTheme="majorBidi" w:cstheme="majorBidi"/>
          <w:sz w:val="24"/>
          <w:szCs w:val="24"/>
        </w:rPr>
        <w:t xml:space="preserve">larger </w:t>
      </w:r>
      <w:r w:rsidR="000D6117" w:rsidRPr="0093413E">
        <w:rPr>
          <w:rFonts w:asciiTheme="majorBidi" w:hAnsiTheme="majorBidi" w:cstheme="majorBidi"/>
          <w:sz w:val="24"/>
          <w:szCs w:val="24"/>
        </w:rPr>
        <w:t>,</w:t>
      </w:r>
      <w:r w:rsidR="002D36AC" w:rsidRPr="0093413E">
        <w:rPr>
          <w:rFonts w:asciiTheme="majorBidi" w:hAnsiTheme="majorBidi" w:cstheme="majorBidi"/>
          <w:sz w:val="24"/>
          <w:szCs w:val="24"/>
        </w:rPr>
        <w:t>profitable</w:t>
      </w:r>
      <w:proofErr w:type="gramEnd"/>
      <w:r w:rsidR="000D6117" w:rsidRPr="0093413E">
        <w:rPr>
          <w:rFonts w:asciiTheme="majorBidi" w:hAnsiTheme="majorBidi" w:cstheme="majorBidi"/>
          <w:sz w:val="24"/>
          <w:szCs w:val="24"/>
        </w:rPr>
        <w:t>, b</w:t>
      </w:r>
      <w:r w:rsidR="0041618C" w:rsidRPr="0093413E">
        <w:rPr>
          <w:rFonts w:asciiTheme="majorBidi" w:hAnsiTheme="majorBidi" w:cstheme="majorBidi"/>
          <w:sz w:val="24"/>
          <w:szCs w:val="24"/>
        </w:rPr>
        <w:t>etter quality audit</w:t>
      </w:r>
      <w:r w:rsidR="002D36AC" w:rsidRPr="0093413E">
        <w:rPr>
          <w:rFonts w:asciiTheme="majorBidi" w:hAnsiTheme="majorBidi" w:cstheme="majorBidi"/>
          <w:sz w:val="24"/>
          <w:szCs w:val="24"/>
        </w:rPr>
        <w:t xml:space="preserve"> firms tend to</w:t>
      </w:r>
      <w:r w:rsidR="0041618C" w:rsidRPr="0093413E">
        <w:rPr>
          <w:rFonts w:asciiTheme="majorBidi" w:hAnsiTheme="majorBidi" w:cstheme="majorBidi"/>
          <w:sz w:val="24"/>
          <w:szCs w:val="24"/>
        </w:rPr>
        <w:t xml:space="preserve"> have higher Bond </w:t>
      </w:r>
      <w:proofErr w:type="gramStart"/>
      <w:r w:rsidR="0041618C" w:rsidRPr="0093413E">
        <w:rPr>
          <w:rFonts w:asciiTheme="majorBidi" w:hAnsiTheme="majorBidi" w:cstheme="majorBidi"/>
          <w:sz w:val="24"/>
          <w:szCs w:val="24"/>
        </w:rPr>
        <w:t>rating</w:t>
      </w:r>
      <w:proofErr w:type="gramEnd"/>
      <w:r w:rsidR="002D36AC" w:rsidRPr="0093413E">
        <w:rPr>
          <w:rFonts w:asciiTheme="majorBidi" w:hAnsiTheme="majorBidi" w:cstheme="majorBidi"/>
          <w:sz w:val="24"/>
          <w:szCs w:val="24"/>
        </w:rPr>
        <w:t xml:space="preserve">. </w:t>
      </w:r>
      <w:r w:rsidR="002D36AC" w:rsidRPr="0093413E">
        <w:rPr>
          <w:rFonts w:asciiTheme="majorBidi" w:hAnsiTheme="majorBidi" w:cstheme="majorBidi"/>
          <w:sz w:val="24"/>
          <w:szCs w:val="24"/>
        </w:rPr>
        <w:lastRenderedPageBreak/>
        <w:t xml:space="preserve">Firms with higher Leverage experience </w:t>
      </w:r>
      <w:r w:rsidR="002C248E" w:rsidRPr="0093413E">
        <w:rPr>
          <w:rFonts w:asciiTheme="majorBidi" w:hAnsiTheme="majorBidi" w:cstheme="majorBidi"/>
          <w:sz w:val="24"/>
          <w:szCs w:val="24"/>
        </w:rPr>
        <w:t>lower Bond rating</w:t>
      </w:r>
      <w:r w:rsidR="003A3147">
        <w:rPr>
          <w:rFonts w:asciiTheme="majorBidi" w:hAnsiTheme="majorBidi" w:cstheme="majorBidi"/>
          <w:sz w:val="24"/>
          <w:szCs w:val="24"/>
        </w:rPr>
        <w:t>(</w:t>
      </w:r>
      <w:r w:rsidR="003A3147" w:rsidRPr="003A3147">
        <w:rPr>
          <w:rFonts w:asciiTheme="majorBidi" w:hAnsiTheme="majorBidi" w:cstheme="majorBidi"/>
          <w:sz w:val="24"/>
          <w:szCs w:val="24"/>
        </w:rPr>
        <w:t>Chava (2014) and Ge and Liu (2015)</w:t>
      </w:r>
      <w:r w:rsidR="003A3147">
        <w:rPr>
          <w:rFonts w:asciiTheme="majorBidi" w:hAnsiTheme="majorBidi" w:cstheme="majorBidi"/>
          <w:sz w:val="24"/>
          <w:szCs w:val="24"/>
        </w:rPr>
        <w:t>)</w:t>
      </w:r>
      <w:r w:rsidR="002D36AC" w:rsidRPr="0093413E">
        <w:rPr>
          <w:rFonts w:asciiTheme="majorBidi" w:hAnsiTheme="majorBidi" w:cstheme="majorBidi"/>
          <w:sz w:val="24"/>
          <w:szCs w:val="24"/>
          <w14:ligatures w14:val="none"/>
        </w:rPr>
        <w:t>, due to the increase of default probability</w:t>
      </w:r>
      <w:r w:rsidR="002D36AC" w:rsidRPr="0093413E">
        <w:rPr>
          <w:rFonts w:asciiTheme="majorBidi" w:hAnsiTheme="majorBidi" w:cstheme="majorBidi"/>
          <w:sz w:val="24"/>
          <w:szCs w:val="24"/>
        </w:rPr>
        <w:t xml:space="preserve">. </w:t>
      </w:r>
      <w:r w:rsidR="002C248E" w:rsidRPr="0093413E">
        <w:rPr>
          <w:rFonts w:asciiTheme="majorBidi" w:hAnsiTheme="majorBidi" w:cstheme="majorBidi"/>
          <w:sz w:val="24"/>
          <w:szCs w:val="24"/>
        </w:rPr>
        <w:t>None of the offer characteristics  shows a significant impact of bond rating .</w:t>
      </w:r>
      <w:r w:rsidR="00932696" w:rsidRPr="0093413E">
        <w:rPr>
          <w:rFonts w:asciiTheme="majorBidi" w:hAnsiTheme="majorBidi" w:cstheme="majorBidi"/>
          <w:sz w:val="24"/>
          <w:szCs w:val="24"/>
        </w:rPr>
        <w:t xml:space="preserve"> </w:t>
      </w:r>
      <w:r w:rsidR="00011299" w:rsidRPr="0093413E">
        <w:rPr>
          <w:rFonts w:asciiTheme="majorBidi" w:hAnsiTheme="majorBidi" w:cstheme="majorBidi"/>
          <w:sz w:val="24"/>
          <w:szCs w:val="24"/>
        </w:rPr>
        <w:t xml:space="preserve">This is </w:t>
      </w:r>
      <w:r w:rsidR="00FF7C0A" w:rsidRPr="0093413E">
        <w:rPr>
          <w:rFonts w:asciiTheme="majorBidi" w:hAnsiTheme="majorBidi" w:cstheme="majorBidi"/>
          <w:sz w:val="24"/>
          <w:szCs w:val="24"/>
        </w:rPr>
        <w:t>possibly</w:t>
      </w:r>
      <w:r w:rsidR="00011299" w:rsidRPr="0093413E">
        <w:rPr>
          <w:rFonts w:asciiTheme="majorBidi" w:hAnsiTheme="majorBidi" w:cstheme="majorBidi"/>
          <w:sz w:val="24"/>
          <w:szCs w:val="24"/>
        </w:rPr>
        <w:t xml:space="preserve"> </w:t>
      </w:r>
      <w:r w:rsidR="00FF7C0A" w:rsidRPr="0093413E">
        <w:rPr>
          <w:rFonts w:asciiTheme="majorBidi" w:hAnsiTheme="majorBidi" w:cstheme="majorBidi"/>
          <w:sz w:val="24"/>
          <w:szCs w:val="24"/>
        </w:rPr>
        <w:t>because</w:t>
      </w:r>
      <w:r w:rsidR="00011299" w:rsidRPr="0093413E">
        <w:rPr>
          <w:rFonts w:asciiTheme="majorBidi" w:hAnsiTheme="majorBidi" w:cstheme="majorBidi"/>
          <w:sz w:val="24"/>
          <w:szCs w:val="24"/>
        </w:rPr>
        <w:t xml:space="preserve"> those </w:t>
      </w:r>
      <w:r w:rsidR="00FF7C0A" w:rsidRPr="0093413E">
        <w:rPr>
          <w:rFonts w:asciiTheme="majorBidi" w:hAnsiTheme="majorBidi" w:cstheme="majorBidi"/>
          <w:sz w:val="24"/>
          <w:szCs w:val="24"/>
        </w:rPr>
        <w:t>variables are measured at the time of the</w:t>
      </w:r>
      <w:r w:rsidR="00581D7B" w:rsidRPr="0093413E">
        <w:rPr>
          <w:rFonts w:asciiTheme="majorBidi" w:hAnsiTheme="majorBidi" w:cstheme="majorBidi"/>
          <w:sz w:val="24"/>
          <w:szCs w:val="24"/>
        </w:rPr>
        <w:t xml:space="preserve"> issue. </w:t>
      </w:r>
      <w:r w:rsidR="00FF7C0A" w:rsidRPr="0093413E">
        <w:rPr>
          <w:rFonts w:asciiTheme="majorBidi" w:hAnsiTheme="majorBidi" w:cstheme="majorBidi"/>
          <w:sz w:val="24"/>
          <w:szCs w:val="24"/>
        </w:rPr>
        <w:t xml:space="preserve"> </w:t>
      </w:r>
      <w:r w:rsidR="00805A54" w:rsidRPr="0093413E">
        <w:rPr>
          <w:rFonts w:asciiTheme="majorBidi" w:hAnsiTheme="majorBidi" w:cstheme="majorBidi"/>
          <w:sz w:val="24"/>
          <w:szCs w:val="24"/>
        </w:rPr>
        <w:t xml:space="preserve">These results affirm that Bond rating is driven by the issuer characteristics. </w:t>
      </w:r>
    </w:p>
    <w:p w14:paraId="2A415154" w14:textId="3253FDB9" w:rsidR="005B7394" w:rsidRPr="0093413E" w:rsidRDefault="00805A54" w:rsidP="005853BF">
      <w:pPr>
        <w:widowControl/>
        <w:autoSpaceDE/>
        <w:autoSpaceDN/>
        <w:ind w:firstLine="432"/>
        <w:jc w:val="both"/>
        <w:rPr>
          <w:rFonts w:asciiTheme="majorBidi" w:hAnsiTheme="majorBidi" w:cstheme="majorBidi"/>
          <w:sz w:val="24"/>
          <w:szCs w:val="24"/>
        </w:rPr>
      </w:pPr>
      <w:r w:rsidRPr="0093413E">
        <w:rPr>
          <w:rFonts w:asciiTheme="majorBidi" w:hAnsiTheme="majorBidi" w:cstheme="majorBidi"/>
          <w:sz w:val="24"/>
          <w:szCs w:val="24"/>
          <w14:ligatures w14:val="none"/>
        </w:rPr>
        <w:t>T</w:t>
      </w:r>
      <w:r w:rsidR="005B7394" w:rsidRPr="0093413E">
        <w:rPr>
          <w:rFonts w:asciiTheme="majorBidi" w:hAnsiTheme="majorBidi" w:cstheme="majorBidi"/>
          <w:sz w:val="24"/>
          <w:szCs w:val="24"/>
          <w14:ligatures w14:val="none"/>
        </w:rPr>
        <w:t xml:space="preserve">o evaluate hypothesis </w:t>
      </w:r>
      <w:r w:rsidR="00355EC8" w:rsidRPr="0093413E">
        <w:rPr>
          <w:rFonts w:asciiTheme="majorBidi" w:hAnsiTheme="majorBidi" w:cstheme="majorBidi"/>
          <w:sz w:val="24"/>
          <w:szCs w:val="24"/>
          <w14:ligatures w14:val="none"/>
        </w:rPr>
        <w:t>3</w:t>
      </w:r>
      <w:r w:rsidR="005B7394" w:rsidRPr="0093413E">
        <w:rPr>
          <w:rFonts w:asciiTheme="majorBidi" w:hAnsiTheme="majorBidi" w:cstheme="majorBidi"/>
          <w:sz w:val="24"/>
          <w:szCs w:val="24"/>
          <w14:ligatures w14:val="none"/>
        </w:rPr>
        <w:t>,  the CAR (-1, 1) is regressed on ESG performance metrics and various control variables. Table 5 shows that the</w:t>
      </w:r>
      <w:r w:rsidR="005B7394" w:rsidRPr="0093413E">
        <w:rPr>
          <w:rFonts w:asciiTheme="majorBidi" w:hAnsiTheme="majorBidi" w:cstheme="majorBidi"/>
          <w:sz w:val="24"/>
          <w:szCs w:val="24"/>
        </w:rPr>
        <w:t xml:space="preserve"> coefficients for ESG Combined and ESG scores are positive and significant </w:t>
      </w:r>
      <w:r w:rsidR="00E85B41">
        <w:rPr>
          <w:rFonts w:asciiTheme="majorBidi" w:hAnsiTheme="majorBidi" w:cstheme="majorBidi"/>
          <w:sz w:val="24"/>
          <w:szCs w:val="24"/>
        </w:rPr>
        <w:t>(</w:t>
      </w:r>
      <w:r w:rsidR="00E85B41">
        <w:t>Howton et al. (1998) and Apergis et al. (2022)</w:t>
      </w:r>
      <w:r w:rsidR="00E85B41">
        <w:rPr>
          <w:rFonts w:asciiTheme="majorBidi" w:hAnsiTheme="majorBidi" w:cstheme="majorBidi"/>
          <w:sz w:val="24"/>
          <w:szCs w:val="24"/>
        </w:rPr>
        <w:t xml:space="preserve">) </w:t>
      </w:r>
      <w:r w:rsidR="005B7394" w:rsidRPr="0093413E">
        <w:rPr>
          <w:rFonts w:asciiTheme="majorBidi" w:hAnsiTheme="majorBidi" w:cstheme="majorBidi"/>
          <w:sz w:val="24"/>
          <w:szCs w:val="24"/>
        </w:rPr>
        <w:t xml:space="preserve">at the 1 percent level, suggesting that higher ESG performance is associated with a </w:t>
      </w:r>
      <w:r w:rsidR="00615DA3" w:rsidRPr="0093413E">
        <w:rPr>
          <w:rFonts w:asciiTheme="majorBidi" w:hAnsiTheme="majorBidi" w:cstheme="majorBidi"/>
          <w:sz w:val="24"/>
          <w:szCs w:val="24"/>
        </w:rPr>
        <w:t>positive</w:t>
      </w:r>
      <w:r w:rsidR="005B7394" w:rsidRPr="0093413E">
        <w:rPr>
          <w:rFonts w:asciiTheme="majorBidi" w:hAnsiTheme="majorBidi" w:cstheme="majorBidi"/>
          <w:sz w:val="24"/>
          <w:szCs w:val="24"/>
        </w:rPr>
        <w:t xml:space="preserve"> reaction to </w:t>
      </w:r>
      <w:r w:rsidR="00242F11" w:rsidRPr="0093413E">
        <w:rPr>
          <w:rFonts w:asciiTheme="majorBidi" w:hAnsiTheme="majorBidi" w:cstheme="majorBidi"/>
          <w:sz w:val="24"/>
          <w:szCs w:val="24"/>
        </w:rPr>
        <w:t>Bond</w:t>
      </w:r>
      <w:r w:rsidR="005B7394" w:rsidRPr="0093413E">
        <w:rPr>
          <w:rFonts w:asciiTheme="majorBidi" w:hAnsiTheme="majorBidi" w:cstheme="majorBidi"/>
          <w:sz w:val="24"/>
          <w:szCs w:val="24"/>
        </w:rPr>
        <w:t xml:space="preserve"> offerings. This indicates that the market responds favorably to firms with better ESG performance</w:t>
      </w:r>
      <w:r w:rsidR="00BC4237" w:rsidRPr="0093413E">
        <w:rPr>
          <w:rFonts w:asciiTheme="majorBidi" w:hAnsiTheme="majorBidi" w:cstheme="majorBidi"/>
          <w:sz w:val="24"/>
          <w:szCs w:val="24"/>
        </w:rPr>
        <w:t xml:space="preserve">. </w:t>
      </w:r>
      <w:r w:rsidR="005B7394" w:rsidRPr="0093413E">
        <w:rPr>
          <w:rFonts w:asciiTheme="majorBidi" w:hAnsiTheme="majorBidi" w:cstheme="majorBidi"/>
          <w:sz w:val="24"/>
          <w:szCs w:val="24"/>
        </w:rPr>
        <w:t>The coefficient</w:t>
      </w:r>
      <w:r w:rsidR="00CC360C" w:rsidRPr="0093413E">
        <w:rPr>
          <w:rFonts w:asciiTheme="majorBidi" w:hAnsiTheme="majorBidi" w:cstheme="majorBidi"/>
          <w:sz w:val="24"/>
          <w:szCs w:val="24"/>
        </w:rPr>
        <w:t>s</w:t>
      </w:r>
      <w:r w:rsidR="005B7394" w:rsidRPr="0093413E">
        <w:rPr>
          <w:rFonts w:asciiTheme="majorBidi" w:hAnsiTheme="majorBidi" w:cstheme="majorBidi"/>
          <w:sz w:val="24"/>
          <w:szCs w:val="24"/>
        </w:rPr>
        <w:t xml:space="preserve"> for Firm Size</w:t>
      </w:r>
      <w:r w:rsidR="00CC360C" w:rsidRPr="0093413E">
        <w:rPr>
          <w:rFonts w:asciiTheme="majorBidi" w:hAnsiTheme="majorBidi" w:cstheme="majorBidi"/>
          <w:sz w:val="24"/>
          <w:szCs w:val="24"/>
        </w:rPr>
        <w:t xml:space="preserve"> and</w:t>
      </w:r>
      <w:r w:rsidR="000546F5">
        <w:rPr>
          <w:rFonts w:asciiTheme="majorBidi" w:hAnsiTheme="majorBidi" w:cstheme="majorBidi"/>
          <w:sz w:val="24"/>
          <w:szCs w:val="24"/>
        </w:rPr>
        <w:t xml:space="preserve"> </w:t>
      </w:r>
      <w:r w:rsidR="000546F5">
        <w:t>Big Four audit</w:t>
      </w:r>
      <w:r w:rsidR="005B7394" w:rsidRPr="0093413E">
        <w:rPr>
          <w:rFonts w:asciiTheme="majorBidi" w:hAnsiTheme="majorBidi" w:cstheme="majorBidi"/>
          <w:sz w:val="24"/>
          <w:szCs w:val="24"/>
        </w:rPr>
        <w:t xml:space="preserve"> </w:t>
      </w:r>
      <w:r w:rsidR="00CC360C" w:rsidRPr="0093413E">
        <w:rPr>
          <w:rFonts w:asciiTheme="majorBidi" w:hAnsiTheme="majorBidi" w:cstheme="majorBidi"/>
          <w:sz w:val="24"/>
          <w:szCs w:val="24"/>
        </w:rPr>
        <w:t>are</w:t>
      </w:r>
      <w:r w:rsidR="005B7394" w:rsidRPr="0093413E">
        <w:rPr>
          <w:rFonts w:asciiTheme="majorBidi" w:hAnsiTheme="majorBidi" w:cstheme="majorBidi"/>
          <w:sz w:val="24"/>
          <w:szCs w:val="24"/>
        </w:rPr>
        <w:t xml:space="preserve"> positive and significant</w:t>
      </w:r>
      <w:r w:rsidR="003A27E3">
        <w:rPr>
          <w:rFonts w:asciiTheme="majorBidi" w:hAnsiTheme="majorBidi" w:cstheme="majorBidi"/>
          <w:sz w:val="24"/>
          <w:szCs w:val="24"/>
        </w:rPr>
        <w:t xml:space="preserve"> (</w:t>
      </w:r>
      <w:r w:rsidR="003A27E3">
        <w:t>Mikkelson and Partch (1986) and Ge &amp; Liu (2015)</w:t>
      </w:r>
      <w:r w:rsidR="003A27E3">
        <w:rPr>
          <w:rFonts w:asciiTheme="majorBidi" w:hAnsiTheme="majorBidi" w:cstheme="majorBidi"/>
          <w:sz w:val="24"/>
          <w:szCs w:val="24"/>
        </w:rPr>
        <w:t>)</w:t>
      </w:r>
      <w:r w:rsidR="005B7394" w:rsidRPr="0093413E">
        <w:rPr>
          <w:rFonts w:asciiTheme="majorBidi" w:hAnsiTheme="majorBidi" w:cstheme="majorBidi"/>
          <w:sz w:val="24"/>
          <w:szCs w:val="24"/>
        </w:rPr>
        <w:t xml:space="preserve">, indicating that larger </w:t>
      </w:r>
      <w:r w:rsidR="005576C6">
        <w:t xml:space="preserve">and well-audited </w:t>
      </w:r>
      <w:r w:rsidR="005B7394" w:rsidRPr="0093413E">
        <w:rPr>
          <w:rFonts w:asciiTheme="majorBidi" w:hAnsiTheme="majorBidi" w:cstheme="majorBidi"/>
          <w:sz w:val="24"/>
          <w:szCs w:val="24"/>
        </w:rPr>
        <w:t xml:space="preserve">firms tend to experience </w:t>
      </w:r>
      <w:r w:rsidR="00C80921" w:rsidRPr="0093413E">
        <w:rPr>
          <w:rFonts w:asciiTheme="majorBidi" w:hAnsiTheme="majorBidi" w:cstheme="majorBidi"/>
          <w:sz w:val="24"/>
          <w:szCs w:val="24"/>
        </w:rPr>
        <w:t>higher</w:t>
      </w:r>
      <w:r w:rsidR="005B7394" w:rsidRPr="0093413E">
        <w:rPr>
          <w:rFonts w:asciiTheme="majorBidi" w:hAnsiTheme="majorBidi" w:cstheme="majorBidi"/>
          <w:sz w:val="24"/>
          <w:szCs w:val="24"/>
        </w:rPr>
        <w:t xml:space="preserve"> cumulative announcement returns. Leverage has a </w:t>
      </w:r>
      <w:r w:rsidR="00CC360C" w:rsidRPr="0093413E">
        <w:rPr>
          <w:rFonts w:asciiTheme="majorBidi" w:hAnsiTheme="majorBidi" w:cstheme="majorBidi"/>
          <w:sz w:val="24"/>
          <w:szCs w:val="24"/>
        </w:rPr>
        <w:t xml:space="preserve">significantly </w:t>
      </w:r>
      <w:r w:rsidR="005B7394" w:rsidRPr="0093413E">
        <w:rPr>
          <w:rFonts w:asciiTheme="majorBidi" w:hAnsiTheme="majorBidi" w:cstheme="majorBidi"/>
          <w:sz w:val="24"/>
          <w:szCs w:val="24"/>
        </w:rPr>
        <w:t>negative coefficient</w:t>
      </w:r>
      <w:r w:rsidR="003A27E3">
        <w:rPr>
          <w:rFonts w:asciiTheme="majorBidi" w:hAnsiTheme="majorBidi" w:cstheme="majorBidi"/>
          <w:sz w:val="24"/>
          <w:szCs w:val="24"/>
        </w:rPr>
        <w:t xml:space="preserve"> (</w:t>
      </w:r>
      <w:r w:rsidR="003A27E3">
        <w:t>Menz (2010) and Attig et al. (</w:t>
      </w:r>
      <w:proofErr w:type="gramStart"/>
      <w:r w:rsidR="003A27E3">
        <w:t>2013))</w:t>
      </w:r>
      <w:proofErr w:type="gramEnd"/>
      <w:r w:rsidR="005B7394" w:rsidRPr="0093413E">
        <w:rPr>
          <w:rFonts w:asciiTheme="majorBidi" w:hAnsiTheme="majorBidi" w:cstheme="majorBidi"/>
          <w:sz w:val="24"/>
          <w:szCs w:val="24"/>
        </w:rPr>
        <w:t xml:space="preserve">. </w:t>
      </w:r>
      <w:r w:rsidR="00041A9E" w:rsidRPr="0093413E">
        <w:rPr>
          <w:rFonts w:asciiTheme="majorBidi" w:hAnsiTheme="majorBidi" w:cstheme="majorBidi"/>
          <w:sz w:val="24"/>
          <w:szCs w:val="24"/>
        </w:rPr>
        <w:t>None of the offer characteristics  shows a significant impact of bond rating</w:t>
      </w:r>
      <w:r w:rsidR="001F64AE">
        <w:rPr>
          <w:rFonts w:asciiTheme="majorBidi" w:hAnsiTheme="majorBidi" w:cstheme="majorBidi"/>
          <w:sz w:val="24"/>
          <w:szCs w:val="24"/>
        </w:rPr>
        <w:t xml:space="preserve">, affirming </w:t>
      </w:r>
      <w:r w:rsidR="00041A9E" w:rsidRPr="0093413E">
        <w:rPr>
          <w:rFonts w:asciiTheme="majorBidi" w:hAnsiTheme="majorBidi" w:cstheme="majorBidi"/>
          <w:sz w:val="24"/>
          <w:szCs w:val="24"/>
        </w:rPr>
        <w:t xml:space="preserve">that </w:t>
      </w:r>
      <w:r w:rsidR="001F64AE">
        <w:rPr>
          <w:rFonts w:asciiTheme="majorBidi" w:hAnsiTheme="majorBidi" w:cstheme="majorBidi"/>
          <w:sz w:val="24"/>
          <w:szCs w:val="24"/>
        </w:rPr>
        <w:t>market reaction</w:t>
      </w:r>
      <w:r w:rsidR="00041A9E" w:rsidRPr="0093413E">
        <w:rPr>
          <w:rFonts w:asciiTheme="majorBidi" w:hAnsiTheme="majorBidi" w:cstheme="majorBidi"/>
          <w:sz w:val="24"/>
          <w:szCs w:val="24"/>
        </w:rPr>
        <w:t xml:space="preserve"> is driven by the issuer characteristics. </w:t>
      </w:r>
    </w:p>
    <w:p w14:paraId="2EFC9087" w14:textId="5274211A" w:rsidR="005B7394" w:rsidRPr="0093413E" w:rsidRDefault="005B7394" w:rsidP="005853BF">
      <w:pPr>
        <w:widowControl/>
        <w:autoSpaceDE/>
        <w:autoSpaceDN/>
        <w:ind w:firstLine="432"/>
        <w:jc w:val="both"/>
        <w:rPr>
          <w:rFonts w:asciiTheme="majorBidi" w:hAnsiTheme="majorBidi" w:cstheme="majorBidi"/>
          <w:sz w:val="24"/>
          <w:szCs w:val="24"/>
        </w:rPr>
      </w:pPr>
      <w:r w:rsidRPr="0093413E">
        <w:rPr>
          <w:rFonts w:asciiTheme="majorBidi" w:hAnsiTheme="majorBidi" w:cstheme="majorBidi"/>
          <w:sz w:val="24"/>
          <w:szCs w:val="24"/>
        </w:rPr>
        <w:t xml:space="preserve">Table </w:t>
      </w:r>
      <w:r w:rsidR="00773D59" w:rsidRPr="0093413E">
        <w:rPr>
          <w:rFonts w:asciiTheme="majorBidi" w:hAnsiTheme="majorBidi" w:cstheme="majorBidi"/>
          <w:sz w:val="24"/>
          <w:szCs w:val="24"/>
        </w:rPr>
        <w:t>5</w:t>
      </w:r>
      <w:r w:rsidRPr="0093413E">
        <w:rPr>
          <w:rFonts w:asciiTheme="majorBidi" w:hAnsiTheme="majorBidi" w:cstheme="majorBidi"/>
          <w:sz w:val="24"/>
          <w:szCs w:val="24"/>
        </w:rPr>
        <w:t xml:space="preserve"> yields comparable results when the model includes the pillar components of the ESG score. The Governance Pillar shows a positive significant coefficient, suggesting that effective governance practices such as firm management, shareholder alignment, and a clear CSR strategy positively influence cumulative announcement returns. The coefficient for the Social Pillar is also positive and significant at the 1 percent level, indicating that more robust performance in social categories like workforce management, human rights, community engagement, and product responsibility is associated with higher cumulative announcement returns. </w:t>
      </w:r>
      <w:r w:rsidR="009D2305" w:rsidRPr="0093413E">
        <w:rPr>
          <w:rFonts w:asciiTheme="majorBidi" w:hAnsiTheme="majorBidi" w:cstheme="majorBidi"/>
          <w:sz w:val="24"/>
          <w:szCs w:val="24"/>
        </w:rPr>
        <w:t>T</w:t>
      </w:r>
      <w:r w:rsidRPr="0093413E">
        <w:rPr>
          <w:rFonts w:asciiTheme="majorBidi" w:hAnsiTheme="majorBidi" w:cstheme="majorBidi"/>
          <w:sz w:val="24"/>
          <w:szCs w:val="24"/>
        </w:rPr>
        <w:t xml:space="preserve">he coefficient for the Environmental Pillar is </w:t>
      </w:r>
      <w:r w:rsidR="009D2305" w:rsidRPr="0093413E">
        <w:rPr>
          <w:rFonts w:asciiTheme="majorBidi" w:hAnsiTheme="majorBidi" w:cstheme="majorBidi"/>
          <w:sz w:val="24"/>
          <w:szCs w:val="24"/>
        </w:rPr>
        <w:t xml:space="preserve">positive and </w:t>
      </w:r>
      <w:r w:rsidRPr="0093413E">
        <w:rPr>
          <w:rFonts w:asciiTheme="majorBidi" w:hAnsiTheme="majorBidi" w:cstheme="majorBidi"/>
          <w:sz w:val="24"/>
          <w:szCs w:val="24"/>
        </w:rPr>
        <w:t xml:space="preserve">statistically significant. This result suggests that environmental performance, as defined by resource use, emissions management, and environmental innovation, does significantly impact the </w:t>
      </w:r>
      <w:r w:rsidR="009D2305" w:rsidRPr="0093413E">
        <w:rPr>
          <w:rFonts w:asciiTheme="majorBidi" w:hAnsiTheme="majorBidi" w:cstheme="majorBidi"/>
          <w:sz w:val="24"/>
          <w:szCs w:val="24"/>
        </w:rPr>
        <w:t>Bond</w:t>
      </w:r>
      <w:r w:rsidRPr="0093413E">
        <w:rPr>
          <w:rFonts w:asciiTheme="majorBidi" w:hAnsiTheme="majorBidi" w:cstheme="majorBidi"/>
          <w:sz w:val="24"/>
          <w:szCs w:val="24"/>
        </w:rPr>
        <w:t xml:space="preserve"> announcement returns. </w:t>
      </w:r>
    </w:p>
    <w:p w14:paraId="06BF0ED6" w14:textId="530A70C1" w:rsidR="00695058" w:rsidRPr="0093413E" w:rsidRDefault="00695058" w:rsidP="005853BF">
      <w:pPr>
        <w:widowControl/>
        <w:autoSpaceDE/>
        <w:autoSpaceDN/>
        <w:ind w:firstLine="432"/>
        <w:jc w:val="both"/>
        <w:rPr>
          <w:rFonts w:asciiTheme="majorBidi" w:hAnsiTheme="majorBidi" w:cstheme="majorBidi"/>
          <w:sz w:val="24"/>
          <w:szCs w:val="24"/>
        </w:rPr>
      </w:pPr>
      <w:r w:rsidRPr="0093413E">
        <w:rPr>
          <w:rFonts w:asciiTheme="majorBidi" w:hAnsiTheme="majorBidi" w:cstheme="majorBidi"/>
          <w:sz w:val="24"/>
          <w:szCs w:val="24"/>
        </w:rPr>
        <w:t xml:space="preserve">Overall, the paper documents compelling evidence that firms with higher ESG performance experience significantly lower </w:t>
      </w:r>
      <w:r w:rsidR="0093413E" w:rsidRPr="0093413E">
        <w:rPr>
          <w:rFonts w:asciiTheme="majorBidi" w:hAnsiTheme="majorBidi" w:cstheme="majorBidi"/>
          <w:sz w:val="24"/>
          <w:szCs w:val="24"/>
        </w:rPr>
        <w:t xml:space="preserve"> Cost of Debt, higher Ratings and more positive</w:t>
      </w:r>
      <w:r w:rsidRPr="0093413E">
        <w:rPr>
          <w:rFonts w:asciiTheme="majorBidi" w:hAnsiTheme="majorBidi" w:cstheme="majorBidi"/>
          <w:sz w:val="24"/>
          <w:szCs w:val="24"/>
        </w:rPr>
        <w:t xml:space="preserve"> cumulative abnormal returns </w:t>
      </w:r>
      <w:r w:rsidR="0093413E" w:rsidRPr="0093413E">
        <w:rPr>
          <w:rFonts w:asciiTheme="majorBidi" w:hAnsiTheme="majorBidi" w:cstheme="majorBidi"/>
          <w:sz w:val="24"/>
          <w:szCs w:val="24"/>
        </w:rPr>
        <w:t>.</w:t>
      </w:r>
    </w:p>
    <w:p w14:paraId="6AA8D36C" w14:textId="77777777" w:rsidR="00695058" w:rsidRPr="0093413E" w:rsidRDefault="00695058" w:rsidP="005853BF">
      <w:pPr>
        <w:pStyle w:val="Heading3"/>
        <w:numPr>
          <w:ilvl w:val="0"/>
          <w:numId w:val="34"/>
        </w:numPr>
        <w:ind w:left="450"/>
        <w:rPr>
          <w:rFonts w:asciiTheme="majorBidi" w:hAnsiTheme="majorBidi"/>
          <w:color w:val="auto"/>
          <w:sz w:val="24"/>
          <w:szCs w:val="24"/>
        </w:rPr>
      </w:pPr>
      <w:r w:rsidRPr="0093413E">
        <w:rPr>
          <w:rFonts w:asciiTheme="majorBidi" w:hAnsiTheme="majorBidi"/>
          <w:color w:val="auto"/>
          <w:sz w:val="24"/>
          <w:szCs w:val="24"/>
        </w:rPr>
        <w:t xml:space="preserve">Conclusion </w:t>
      </w:r>
    </w:p>
    <w:p w14:paraId="28B4BB44" w14:textId="55F98914" w:rsidR="00CB1B9C" w:rsidRPr="00CB1B9C" w:rsidRDefault="00CB1B9C" w:rsidP="005853BF">
      <w:pPr>
        <w:widowControl/>
        <w:autoSpaceDE/>
        <w:autoSpaceDN/>
        <w:jc w:val="both"/>
        <w:rPr>
          <w:rFonts w:asciiTheme="majorBidi" w:hAnsiTheme="majorBidi" w:cstheme="majorBidi"/>
          <w:sz w:val="24"/>
          <w:szCs w:val="24"/>
        </w:rPr>
      </w:pPr>
      <w:r w:rsidRPr="00CB1B9C">
        <w:rPr>
          <w:rFonts w:asciiTheme="majorBidi" w:hAnsiTheme="majorBidi" w:cstheme="majorBidi"/>
          <w:sz w:val="24"/>
          <w:szCs w:val="24"/>
        </w:rPr>
        <w:t>This paper examines the impact of a firm’s ESG performance</w:t>
      </w:r>
      <w:r w:rsidR="003771E7">
        <w:rPr>
          <w:rFonts w:asciiTheme="majorBidi" w:hAnsiTheme="majorBidi" w:cstheme="majorBidi"/>
          <w:sz w:val="24"/>
          <w:szCs w:val="24"/>
        </w:rPr>
        <w:t xml:space="preserve"> and the </w:t>
      </w:r>
      <w:r w:rsidR="003771E7" w:rsidRPr="00CB1B9C">
        <w:rPr>
          <w:rFonts w:asciiTheme="majorBidi" w:hAnsiTheme="majorBidi" w:cstheme="majorBidi"/>
          <w:sz w:val="24"/>
          <w:szCs w:val="24"/>
        </w:rPr>
        <w:t>ESG</w:t>
      </w:r>
      <w:r w:rsidR="003771E7">
        <w:rPr>
          <w:rFonts w:asciiTheme="majorBidi" w:hAnsiTheme="majorBidi" w:cstheme="majorBidi"/>
          <w:sz w:val="24"/>
          <w:szCs w:val="24"/>
        </w:rPr>
        <w:t xml:space="preserve"> </w:t>
      </w:r>
      <w:r w:rsidR="004D4E70">
        <w:rPr>
          <w:rFonts w:asciiTheme="majorBidi" w:hAnsiTheme="majorBidi" w:cstheme="majorBidi"/>
          <w:sz w:val="24"/>
          <w:szCs w:val="24"/>
        </w:rPr>
        <w:t>component</w:t>
      </w:r>
      <w:r w:rsidR="003771E7">
        <w:rPr>
          <w:rFonts w:asciiTheme="majorBidi" w:hAnsiTheme="majorBidi" w:cstheme="majorBidi"/>
          <w:sz w:val="24"/>
          <w:szCs w:val="24"/>
        </w:rPr>
        <w:t xml:space="preserve"> </w:t>
      </w:r>
      <w:r w:rsidR="004D4E70">
        <w:rPr>
          <w:rFonts w:asciiTheme="majorBidi" w:hAnsiTheme="majorBidi" w:cstheme="majorBidi"/>
          <w:sz w:val="24"/>
          <w:szCs w:val="24"/>
        </w:rPr>
        <w:t>pillars</w:t>
      </w:r>
      <w:r w:rsidR="003771E7">
        <w:rPr>
          <w:rFonts w:asciiTheme="majorBidi" w:hAnsiTheme="majorBidi" w:cstheme="majorBidi"/>
          <w:sz w:val="24"/>
          <w:szCs w:val="24"/>
        </w:rPr>
        <w:t xml:space="preserve"> </w:t>
      </w:r>
      <w:r w:rsidRPr="00CB1B9C">
        <w:rPr>
          <w:rFonts w:asciiTheme="majorBidi" w:hAnsiTheme="majorBidi" w:cstheme="majorBidi"/>
          <w:sz w:val="24"/>
          <w:szCs w:val="24"/>
        </w:rPr>
        <w:t xml:space="preserve"> on </w:t>
      </w:r>
      <w:r w:rsidR="003771E7">
        <w:rPr>
          <w:rFonts w:asciiTheme="majorBidi" w:hAnsiTheme="majorBidi" w:cstheme="majorBidi"/>
          <w:sz w:val="24"/>
          <w:szCs w:val="24"/>
        </w:rPr>
        <w:t>the cost of Debt</w:t>
      </w:r>
      <w:r w:rsidR="009033DE">
        <w:rPr>
          <w:rFonts w:asciiTheme="majorBidi" w:hAnsiTheme="majorBidi" w:cstheme="majorBidi"/>
          <w:sz w:val="24"/>
          <w:szCs w:val="24"/>
        </w:rPr>
        <w:t xml:space="preserve"> using a </w:t>
      </w:r>
      <w:r w:rsidR="009033DE">
        <w:t xml:space="preserve">comprehensive </w:t>
      </w:r>
      <w:r w:rsidR="009033DE" w:rsidRPr="00CB1B9C">
        <w:rPr>
          <w:rFonts w:asciiTheme="majorBidi" w:hAnsiTheme="majorBidi" w:cstheme="majorBidi"/>
          <w:sz w:val="24"/>
          <w:szCs w:val="24"/>
        </w:rPr>
        <w:t>sample</w:t>
      </w:r>
      <w:r w:rsidR="009033DE">
        <w:t xml:space="preserve"> of U.S. corporate bond issuances</w:t>
      </w:r>
      <w:r w:rsidR="00C5796B" w:rsidRPr="00C5796B">
        <w:rPr>
          <w:rFonts w:asciiTheme="majorBidi" w:hAnsiTheme="majorBidi" w:cstheme="majorBidi"/>
          <w:sz w:val="24"/>
          <w:szCs w:val="24"/>
        </w:rPr>
        <w:t xml:space="preserve"> </w:t>
      </w:r>
      <w:r w:rsidR="00C5796B" w:rsidRPr="00CB1B9C">
        <w:rPr>
          <w:rFonts w:asciiTheme="majorBidi" w:hAnsiTheme="majorBidi" w:cstheme="majorBidi"/>
          <w:sz w:val="24"/>
          <w:szCs w:val="24"/>
        </w:rPr>
        <w:t>spanning from 200</w:t>
      </w:r>
      <w:r w:rsidR="00C5796B">
        <w:rPr>
          <w:rFonts w:asciiTheme="majorBidi" w:hAnsiTheme="majorBidi" w:cstheme="majorBidi"/>
          <w:sz w:val="24"/>
          <w:szCs w:val="24"/>
        </w:rPr>
        <w:t>4</w:t>
      </w:r>
      <w:r w:rsidR="00C5796B" w:rsidRPr="00CB1B9C">
        <w:rPr>
          <w:rFonts w:asciiTheme="majorBidi" w:hAnsiTheme="majorBidi" w:cstheme="majorBidi"/>
          <w:sz w:val="24"/>
          <w:szCs w:val="24"/>
        </w:rPr>
        <w:t xml:space="preserve"> to 202</w:t>
      </w:r>
      <w:r w:rsidR="00C5796B">
        <w:rPr>
          <w:rFonts w:asciiTheme="majorBidi" w:hAnsiTheme="majorBidi" w:cstheme="majorBidi"/>
          <w:sz w:val="24"/>
          <w:szCs w:val="24"/>
        </w:rPr>
        <w:t>2</w:t>
      </w:r>
      <w:r w:rsidR="00C5796B" w:rsidRPr="00CB1B9C">
        <w:rPr>
          <w:rFonts w:asciiTheme="majorBidi" w:hAnsiTheme="majorBidi" w:cstheme="majorBidi"/>
          <w:sz w:val="24"/>
          <w:szCs w:val="24"/>
        </w:rPr>
        <w:t>.</w:t>
      </w:r>
      <w:r w:rsidR="00C5796B">
        <w:rPr>
          <w:rFonts w:asciiTheme="majorBidi" w:hAnsiTheme="majorBidi" w:cstheme="majorBidi"/>
          <w:sz w:val="24"/>
          <w:szCs w:val="24"/>
        </w:rPr>
        <w:t xml:space="preserve"> </w:t>
      </w:r>
      <w:r w:rsidRPr="00CB1B9C">
        <w:rPr>
          <w:rFonts w:asciiTheme="majorBidi" w:hAnsiTheme="majorBidi" w:cstheme="majorBidi"/>
          <w:sz w:val="24"/>
          <w:szCs w:val="24"/>
        </w:rPr>
        <w:t xml:space="preserve">The findings indicate that firms with higher ESG scores experience significantly </w:t>
      </w:r>
      <w:r w:rsidR="000446BA">
        <w:rPr>
          <w:rFonts w:asciiTheme="majorBidi" w:hAnsiTheme="majorBidi" w:cstheme="majorBidi"/>
          <w:sz w:val="24"/>
          <w:szCs w:val="24"/>
        </w:rPr>
        <w:t xml:space="preserve">lower cost of Debt, higher Bond ratings and more </w:t>
      </w:r>
      <w:proofErr w:type="spellStart"/>
      <w:r w:rsidR="000446BA">
        <w:rPr>
          <w:rFonts w:asciiTheme="majorBidi" w:hAnsiTheme="majorBidi" w:cstheme="majorBidi"/>
          <w:sz w:val="24"/>
          <w:szCs w:val="24"/>
        </w:rPr>
        <w:t>postive</w:t>
      </w:r>
      <w:proofErr w:type="spellEnd"/>
      <w:r w:rsidRPr="00CB1B9C">
        <w:rPr>
          <w:rFonts w:asciiTheme="majorBidi" w:hAnsiTheme="majorBidi" w:cstheme="majorBidi"/>
          <w:sz w:val="24"/>
          <w:szCs w:val="24"/>
        </w:rPr>
        <w:t xml:space="preserve"> cumulative abnormal returns around </w:t>
      </w:r>
      <w:r w:rsidR="000446BA">
        <w:rPr>
          <w:rFonts w:asciiTheme="majorBidi" w:hAnsiTheme="majorBidi" w:cstheme="majorBidi"/>
          <w:sz w:val="24"/>
          <w:szCs w:val="24"/>
        </w:rPr>
        <w:t>the bond</w:t>
      </w:r>
      <w:r w:rsidRPr="00CB1B9C">
        <w:rPr>
          <w:rFonts w:asciiTheme="majorBidi" w:hAnsiTheme="majorBidi" w:cstheme="majorBidi"/>
          <w:sz w:val="24"/>
          <w:szCs w:val="24"/>
        </w:rPr>
        <w:t xml:space="preserve"> announcements. The results support the theoretical predictions that the market weighs environmental practices, governance practices, and social responsibility when evaluating </w:t>
      </w:r>
      <w:r w:rsidR="001B7069">
        <w:rPr>
          <w:rFonts w:asciiTheme="majorBidi" w:hAnsiTheme="majorBidi" w:cstheme="majorBidi"/>
          <w:sz w:val="24"/>
          <w:szCs w:val="24"/>
        </w:rPr>
        <w:t>bond</w:t>
      </w:r>
      <w:r w:rsidRPr="00CB1B9C">
        <w:rPr>
          <w:rFonts w:asciiTheme="majorBidi" w:hAnsiTheme="majorBidi" w:cstheme="majorBidi"/>
          <w:sz w:val="24"/>
          <w:szCs w:val="24"/>
        </w:rPr>
        <w:t xml:space="preserve"> offerings. Specifically, the </w:t>
      </w:r>
      <w:r w:rsidR="001B7069" w:rsidRPr="00CB1B9C">
        <w:rPr>
          <w:rFonts w:asciiTheme="majorBidi" w:hAnsiTheme="majorBidi" w:cstheme="majorBidi"/>
          <w:sz w:val="24"/>
          <w:szCs w:val="24"/>
        </w:rPr>
        <w:t xml:space="preserve">Environmental </w:t>
      </w:r>
      <w:r w:rsidR="007C4FDE">
        <w:rPr>
          <w:rFonts w:asciiTheme="majorBidi" w:hAnsiTheme="majorBidi" w:cstheme="majorBidi"/>
          <w:sz w:val="24"/>
          <w:szCs w:val="24"/>
        </w:rPr>
        <w:t xml:space="preserve">, </w:t>
      </w:r>
      <w:r w:rsidRPr="00CB1B9C">
        <w:rPr>
          <w:rFonts w:asciiTheme="majorBidi" w:hAnsiTheme="majorBidi" w:cstheme="majorBidi"/>
          <w:sz w:val="24"/>
          <w:szCs w:val="24"/>
        </w:rPr>
        <w:t xml:space="preserve">Social and Governance pillars of ESG positively influence market reactions . </w:t>
      </w:r>
      <w:r w:rsidR="00112F05">
        <w:rPr>
          <w:rFonts w:asciiTheme="majorBidi" w:hAnsiTheme="majorBidi" w:cstheme="majorBidi"/>
          <w:sz w:val="24"/>
          <w:szCs w:val="24"/>
        </w:rPr>
        <w:t>F</w:t>
      </w:r>
      <w:r w:rsidR="00112F05">
        <w:t>urther, t</w:t>
      </w:r>
      <w:r w:rsidRPr="00CB1B9C">
        <w:rPr>
          <w:rFonts w:asciiTheme="majorBidi" w:hAnsiTheme="majorBidi" w:cstheme="majorBidi"/>
          <w:sz w:val="24"/>
          <w:szCs w:val="24"/>
        </w:rPr>
        <w:t xml:space="preserve">he results from the </w:t>
      </w:r>
      <w:r w:rsidR="007C4FDE">
        <w:rPr>
          <w:rFonts w:asciiTheme="majorBidi" w:hAnsiTheme="majorBidi" w:cstheme="majorBidi"/>
          <w:sz w:val="24"/>
          <w:szCs w:val="24"/>
        </w:rPr>
        <w:t>Yield Spread and Bond rating models</w:t>
      </w:r>
      <w:r w:rsidRPr="00CB1B9C">
        <w:rPr>
          <w:rFonts w:asciiTheme="majorBidi" w:hAnsiTheme="majorBidi" w:cstheme="majorBidi"/>
          <w:sz w:val="24"/>
          <w:szCs w:val="24"/>
        </w:rPr>
        <w:t xml:space="preserve"> show that the </w:t>
      </w:r>
      <w:r w:rsidR="00EF5649">
        <w:rPr>
          <w:rFonts w:asciiTheme="majorBidi" w:hAnsiTheme="majorBidi" w:cstheme="majorBidi"/>
          <w:sz w:val="24"/>
          <w:szCs w:val="24"/>
        </w:rPr>
        <w:t>financial market is willing to accept lower yields</w:t>
      </w:r>
      <w:r w:rsidRPr="00CB1B9C">
        <w:rPr>
          <w:rFonts w:asciiTheme="majorBidi" w:hAnsiTheme="majorBidi" w:cstheme="majorBidi"/>
          <w:sz w:val="24"/>
          <w:szCs w:val="24"/>
        </w:rPr>
        <w:t xml:space="preserve"> on </w:t>
      </w:r>
      <w:r w:rsidR="00EF5649">
        <w:rPr>
          <w:rFonts w:asciiTheme="majorBidi" w:hAnsiTheme="majorBidi" w:cstheme="majorBidi"/>
          <w:sz w:val="24"/>
          <w:szCs w:val="24"/>
        </w:rPr>
        <w:t>Bonds</w:t>
      </w:r>
      <w:r w:rsidRPr="00CB1B9C">
        <w:rPr>
          <w:rFonts w:asciiTheme="majorBidi" w:hAnsiTheme="majorBidi" w:cstheme="majorBidi"/>
          <w:sz w:val="24"/>
          <w:szCs w:val="24"/>
        </w:rPr>
        <w:t xml:space="preserve"> from firms with high ESG </w:t>
      </w:r>
      <w:r w:rsidR="00347CEB" w:rsidRPr="00CB1B9C">
        <w:rPr>
          <w:rFonts w:asciiTheme="majorBidi" w:hAnsiTheme="majorBidi" w:cstheme="majorBidi"/>
          <w:sz w:val="24"/>
          <w:szCs w:val="24"/>
        </w:rPr>
        <w:t>practices,</w:t>
      </w:r>
      <w:r w:rsidR="00475B42">
        <w:t xml:space="preserve"> suggesting that the market </w:t>
      </w:r>
      <w:r w:rsidR="006E2A58">
        <w:t>views firms with higher ESG</w:t>
      </w:r>
      <w:r w:rsidR="00475B42">
        <w:t xml:space="preserve"> as lower-risk borrowers.</w:t>
      </w:r>
      <w:r w:rsidR="00D81A56">
        <w:t xml:space="preserve"> </w:t>
      </w:r>
      <w:r w:rsidRPr="00CB1B9C">
        <w:rPr>
          <w:rFonts w:asciiTheme="majorBidi" w:hAnsiTheme="majorBidi" w:cstheme="majorBidi"/>
          <w:sz w:val="24"/>
          <w:szCs w:val="24"/>
        </w:rPr>
        <w:t>Accordingly, the results support a number of theories, namely, the signaling theory</w:t>
      </w:r>
      <w:r w:rsidR="00016B87">
        <w:rPr>
          <w:rFonts w:asciiTheme="majorBidi" w:hAnsiTheme="majorBidi" w:cstheme="majorBidi"/>
          <w:sz w:val="24"/>
          <w:szCs w:val="24"/>
        </w:rPr>
        <w:t xml:space="preserve"> </w:t>
      </w:r>
      <w:r w:rsidR="00016B87">
        <w:t>(Spence, 1973)</w:t>
      </w:r>
      <w:r w:rsidRPr="00CB1B9C">
        <w:rPr>
          <w:rFonts w:asciiTheme="majorBidi" w:hAnsiTheme="majorBidi" w:cstheme="majorBidi"/>
          <w:sz w:val="24"/>
          <w:szCs w:val="24"/>
        </w:rPr>
        <w:t>, stakeholder theory</w:t>
      </w:r>
      <w:r w:rsidR="00016B87" w:rsidRPr="00016B87">
        <w:t xml:space="preserve"> </w:t>
      </w:r>
      <w:r w:rsidR="00016B87">
        <w:t>(Freeman, 1984)</w:t>
      </w:r>
      <w:r w:rsidRPr="00CB1B9C">
        <w:rPr>
          <w:rFonts w:asciiTheme="majorBidi" w:hAnsiTheme="majorBidi" w:cstheme="majorBidi"/>
          <w:sz w:val="24"/>
          <w:szCs w:val="24"/>
        </w:rPr>
        <w:t>, risk mitigation theory</w:t>
      </w:r>
      <w:r w:rsidR="00EB6550" w:rsidRPr="00EB6550">
        <w:t xml:space="preserve"> </w:t>
      </w:r>
      <w:r w:rsidR="00EB6550">
        <w:t>(</w:t>
      </w:r>
      <w:proofErr w:type="spellStart"/>
      <w:r w:rsidR="00EB6550">
        <w:t>Orlitzky</w:t>
      </w:r>
      <w:proofErr w:type="spellEnd"/>
      <w:r w:rsidR="00EB6550">
        <w:t xml:space="preserve"> &amp; Benjamin, 2001)</w:t>
      </w:r>
      <w:r w:rsidRPr="00CB1B9C">
        <w:rPr>
          <w:rFonts w:asciiTheme="majorBidi" w:hAnsiTheme="majorBidi" w:cstheme="majorBidi"/>
          <w:sz w:val="24"/>
          <w:szCs w:val="24"/>
        </w:rPr>
        <w:t xml:space="preserve">, and </w:t>
      </w:r>
      <w:r w:rsidR="00314F6D">
        <w:t>Agency Theory</w:t>
      </w:r>
      <w:r w:rsidR="00414BEE" w:rsidRPr="00414BEE">
        <w:t xml:space="preserve"> </w:t>
      </w:r>
      <w:r w:rsidR="00414BEE">
        <w:t>(Jensen &amp; Meckling, 1976)</w:t>
      </w:r>
      <w:r w:rsidR="00635F57">
        <w:rPr>
          <w:rFonts w:asciiTheme="majorBidi" w:hAnsiTheme="majorBidi" w:cstheme="majorBidi"/>
          <w:sz w:val="24"/>
          <w:szCs w:val="24"/>
        </w:rPr>
        <w:t>.</w:t>
      </w:r>
      <w:r w:rsidR="009A5F14">
        <w:rPr>
          <w:rFonts w:asciiTheme="majorBidi" w:hAnsiTheme="majorBidi" w:cstheme="majorBidi"/>
          <w:sz w:val="24"/>
          <w:szCs w:val="24"/>
        </w:rPr>
        <w:t xml:space="preserve"> </w:t>
      </w:r>
      <w:r w:rsidR="009A5F14">
        <w:t xml:space="preserve">This study contributes to the growing literature on ESG and its </w:t>
      </w:r>
      <w:r w:rsidR="006628F0">
        <w:t>impact on firms' financial performance</w:t>
      </w:r>
      <w:r w:rsidR="009A5F14">
        <w:t xml:space="preserve"> by providing empirical evidence on the importance of the Environmental, Social, and Governance pillars in</w:t>
      </w:r>
      <w:r w:rsidR="006628F0">
        <w:t xml:space="preserve"> reducing a </w:t>
      </w:r>
      <w:r w:rsidR="009A5F14">
        <w:t>firm’s cost of debt.</w:t>
      </w:r>
    </w:p>
    <w:p w14:paraId="4EE4AE9B" w14:textId="77777777" w:rsidR="00695058" w:rsidRDefault="00695058" w:rsidP="005853BF">
      <w:pPr>
        <w:adjustRightInd w:val="0"/>
        <w:jc w:val="both"/>
        <w:rPr>
          <w:rFonts w:asciiTheme="majorBidi" w:hAnsiTheme="majorBidi" w:cstheme="majorBidi"/>
        </w:rPr>
      </w:pPr>
    </w:p>
    <w:p w14:paraId="671D9C9E" w14:textId="77777777" w:rsidR="00EA313E" w:rsidRDefault="00EA313E" w:rsidP="00695058">
      <w:pPr>
        <w:adjustRightInd w:val="0"/>
        <w:jc w:val="both"/>
        <w:rPr>
          <w:rFonts w:asciiTheme="majorBidi" w:hAnsiTheme="majorBidi" w:cstheme="majorBidi"/>
        </w:rPr>
      </w:pPr>
    </w:p>
    <w:p w14:paraId="1B0F8E7B" w14:textId="77777777" w:rsidR="00EA313E" w:rsidRDefault="00EA313E" w:rsidP="00695058">
      <w:pPr>
        <w:adjustRightInd w:val="0"/>
        <w:jc w:val="both"/>
        <w:rPr>
          <w:rFonts w:asciiTheme="majorBidi" w:hAnsiTheme="majorBidi" w:cstheme="majorBidi"/>
        </w:rPr>
      </w:pPr>
    </w:p>
    <w:p w14:paraId="4F35E727" w14:textId="77777777" w:rsidR="00EA313E" w:rsidRDefault="00EA313E" w:rsidP="00695058">
      <w:pPr>
        <w:adjustRightInd w:val="0"/>
        <w:jc w:val="both"/>
        <w:rPr>
          <w:rFonts w:asciiTheme="majorBidi" w:hAnsiTheme="majorBidi" w:cstheme="majorBidi"/>
        </w:rPr>
      </w:pPr>
    </w:p>
    <w:p w14:paraId="29E890DD" w14:textId="77777777" w:rsidR="00EA313E" w:rsidRPr="0093413E" w:rsidRDefault="00EA313E" w:rsidP="00EA313E">
      <w:pPr>
        <w:pStyle w:val="paragraph"/>
        <w:spacing w:before="0" w:beforeAutospacing="0" w:after="0" w:afterAutospacing="0" w:line="480" w:lineRule="auto"/>
        <w:jc w:val="center"/>
        <w:textAlignment w:val="baseline"/>
        <w:rPr>
          <w:rFonts w:asciiTheme="majorBidi" w:eastAsiaTheme="minorHAnsi" w:hAnsiTheme="majorBidi" w:cstheme="majorBidi"/>
          <w:b/>
          <w:bCs/>
          <w:color w:val="000000"/>
          <w:shd w:val="clear" w:color="auto" w:fill="FFFFFF"/>
        </w:rPr>
      </w:pPr>
      <w:r w:rsidRPr="0093413E">
        <w:rPr>
          <w:rFonts w:asciiTheme="majorBidi" w:eastAsiaTheme="minorHAnsi" w:hAnsiTheme="majorBidi" w:cstheme="majorBidi"/>
          <w:b/>
          <w:bCs/>
          <w:color w:val="000000"/>
          <w:shd w:val="clear" w:color="auto" w:fill="FFFFFF"/>
        </w:rPr>
        <w:t>Figure 1</w:t>
      </w:r>
    </w:p>
    <w:p w14:paraId="7C2EAB77" w14:textId="77777777" w:rsidR="00EA313E" w:rsidRPr="0093413E" w:rsidRDefault="00EA313E" w:rsidP="00EA313E">
      <w:pPr>
        <w:pStyle w:val="paragraph"/>
        <w:spacing w:before="0" w:beforeAutospacing="0" w:after="0" w:afterAutospacing="0" w:line="480" w:lineRule="auto"/>
        <w:jc w:val="center"/>
        <w:textAlignment w:val="baseline"/>
        <w:rPr>
          <w:rFonts w:asciiTheme="majorBidi" w:eastAsiaTheme="minorHAnsi" w:hAnsiTheme="majorBidi" w:cstheme="majorBidi"/>
          <w:b/>
          <w:bCs/>
          <w:color w:val="000000"/>
          <w:shd w:val="clear" w:color="auto" w:fill="FFFFFF"/>
        </w:rPr>
      </w:pPr>
      <w:r w:rsidRPr="0093413E">
        <w:rPr>
          <w:rFonts w:asciiTheme="majorBidi" w:eastAsiaTheme="minorHAnsi" w:hAnsiTheme="majorBidi" w:cstheme="majorBidi"/>
          <w:b/>
          <w:bCs/>
          <w:noProof/>
          <w:color w:val="000000"/>
          <w:shd w:val="clear" w:color="auto" w:fill="FFFFFF"/>
        </w:rPr>
        <w:drawing>
          <wp:inline distT="0" distB="0" distL="0" distR="0" wp14:anchorId="455571E2" wp14:editId="79FEBC78">
            <wp:extent cx="5540423" cy="2705100"/>
            <wp:effectExtent l="0" t="0" r="3175" b="0"/>
            <wp:docPr id="1813380259" name="Picture 1" descr="A diagram of a circul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5724" name="Picture 1" descr="A diagram of a circular chart&#10;&#10;Description automatically generated with medium confidence"/>
                    <pic:cNvPicPr/>
                  </pic:nvPicPr>
                  <pic:blipFill>
                    <a:blip r:embed="rId18"/>
                    <a:stretch>
                      <a:fillRect/>
                    </a:stretch>
                  </pic:blipFill>
                  <pic:spPr>
                    <a:xfrm>
                      <a:off x="0" y="0"/>
                      <a:ext cx="5551929" cy="2710718"/>
                    </a:xfrm>
                    <a:prstGeom prst="rect">
                      <a:avLst/>
                    </a:prstGeom>
                  </pic:spPr>
                </pic:pic>
              </a:graphicData>
            </a:graphic>
          </wp:inline>
        </w:drawing>
      </w:r>
    </w:p>
    <w:p w14:paraId="2574F7BB" w14:textId="77777777" w:rsidR="00EA313E" w:rsidRPr="0093413E" w:rsidRDefault="00EA313E" w:rsidP="00EA313E">
      <w:pPr>
        <w:spacing w:line="480" w:lineRule="auto"/>
        <w:ind w:left="360" w:firstLine="360"/>
        <w:rPr>
          <w:rFonts w:asciiTheme="majorBidi" w:hAnsiTheme="majorBidi" w:cstheme="majorBidi"/>
          <w:b/>
          <w:bCs/>
          <w:i/>
          <w:iCs/>
          <w:color w:val="000000"/>
          <w:sz w:val="24"/>
          <w:szCs w:val="24"/>
          <w:shd w:val="clear" w:color="auto" w:fill="FFFFFF"/>
        </w:rPr>
      </w:pPr>
      <w:r w:rsidRPr="0093413E">
        <w:rPr>
          <w:rFonts w:asciiTheme="majorBidi" w:hAnsiTheme="majorBidi" w:cstheme="majorBidi"/>
          <w:b/>
          <w:bCs/>
          <w:i/>
          <w:iCs/>
          <w:color w:val="000000"/>
          <w:sz w:val="24"/>
          <w:szCs w:val="24"/>
          <w:shd w:val="clear" w:color="auto" w:fill="FFFFFF"/>
        </w:rPr>
        <w:t xml:space="preserve">Source: </w:t>
      </w:r>
      <w:hyperlink r:id="rId19" w:tgtFrame="_blank" w:history="1">
        <w:r w:rsidRPr="0093413E">
          <w:rPr>
            <w:rStyle w:val="Hyperlink"/>
            <w:rFonts w:asciiTheme="majorBidi" w:hAnsiTheme="majorBidi" w:cstheme="majorBidi"/>
            <w:b/>
            <w:bCs/>
            <w:i/>
            <w:iCs/>
            <w:sz w:val="24"/>
            <w:szCs w:val="24"/>
            <w:shd w:val="clear" w:color="auto" w:fill="FFFFFF"/>
          </w:rPr>
          <w:t>LSEG ESG</w:t>
        </w:r>
      </w:hyperlink>
      <w:r w:rsidRPr="0093413E">
        <w:rPr>
          <w:rFonts w:asciiTheme="majorBidi" w:hAnsiTheme="majorBidi" w:cstheme="majorBidi"/>
          <w:b/>
          <w:bCs/>
          <w:i/>
          <w:iCs/>
          <w:color w:val="000000"/>
          <w:sz w:val="24"/>
          <w:szCs w:val="24"/>
          <w:shd w:val="clear" w:color="auto" w:fill="FFFFFF"/>
        </w:rPr>
        <w:t xml:space="preserve"> </w:t>
      </w:r>
    </w:p>
    <w:p w14:paraId="1779DAC3" w14:textId="77777777" w:rsidR="00EA313E" w:rsidRPr="0093413E" w:rsidRDefault="00EA313E" w:rsidP="00EA313E">
      <w:pPr>
        <w:pStyle w:val="paragraph"/>
        <w:spacing w:before="0" w:beforeAutospacing="0" w:after="0" w:afterAutospacing="0" w:line="480" w:lineRule="auto"/>
        <w:jc w:val="center"/>
        <w:textAlignment w:val="baseline"/>
        <w:rPr>
          <w:rFonts w:asciiTheme="majorBidi" w:eastAsiaTheme="minorHAnsi" w:hAnsiTheme="majorBidi" w:cstheme="majorBidi"/>
          <w:b/>
          <w:bCs/>
          <w:color w:val="000000"/>
          <w:shd w:val="clear" w:color="auto" w:fill="FFFFFF"/>
        </w:rPr>
      </w:pPr>
      <w:r w:rsidRPr="0093413E">
        <w:rPr>
          <w:rFonts w:asciiTheme="majorBidi" w:eastAsiaTheme="minorHAnsi" w:hAnsiTheme="majorBidi" w:cstheme="majorBidi"/>
          <w:b/>
          <w:bCs/>
          <w:color w:val="000000"/>
          <w:shd w:val="clear" w:color="auto" w:fill="FFFFFF"/>
        </w:rPr>
        <w:t>Figure 2</w:t>
      </w:r>
    </w:p>
    <w:p w14:paraId="38CA1B05" w14:textId="77777777" w:rsidR="00EA313E" w:rsidRPr="0093413E" w:rsidRDefault="00EA313E" w:rsidP="00EA313E">
      <w:pPr>
        <w:pStyle w:val="paragraph"/>
        <w:spacing w:before="0" w:beforeAutospacing="0" w:after="0" w:afterAutospacing="0" w:line="480" w:lineRule="auto"/>
        <w:jc w:val="center"/>
        <w:textAlignment w:val="baseline"/>
        <w:rPr>
          <w:rFonts w:asciiTheme="majorBidi" w:eastAsiaTheme="minorHAnsi" w:hAnsiTheme="majorBidi" w:cstheme="majorBidi"/>
          <w:b/>
          <w:bCs/>
          <w:color w:val="000000"/>
          <w:shd w:val="clear" w:color="auto" w:fill="FFFFFF"/>
        </w:rPr>
      </w:pPr>
    </w:p>
    <w:p w14:paraId="3C7B60CA" w14:textId="77777777" w:rsidR="00EA313E" w:rsidRPr="0093413E" w:rsidRDefault="00EA313E" w:rsidP="00EA313E">
      <w:pPr>
        <w:spacing w:line="480" w:lineRule="auto"/>
        <w:jc w:val="center"/>
        <w:rPr>
          <w:rFonts w:asciiTheme="majorBidi" w:hAnsiTheme="majorBidi" w:cstheme="majorBidi"/>
          <w:sz w:val="24"/>
          <w:szCs w:val="24"/>
        </w:rPr>
      </w:pPr>
      <w:r w:rsidRPr="0093413E">
        <w:rPr>
          <w:rFonts w:asciiTheme="majorBidi" w:hAnsiTheme="majorBidi" w:cstheme="majorBidi"/>
          <w:noProof/>
          <w:sz w:val="24"/>
          <w:szCs w:val="24"/>
        </w:rPr>
        <w:drawing>
          <wp:inline distT="0" distB="0" distL="0" distR="0" wp14:anchorId="3C9151D6" wp14:editId="2DFD5D87">
            <wp:extent cx="6075918" cy="2857500"/>
            <wp:effectExtent l="0" t="0" r="1270" b="0"/>
            <wp:docPr id="599910727" name="Picture 1" descr="A diagram of esg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10727" name="Picture 1" descr="A diagram of esg score&#10;&#10;Description automatically generated"/>
                    <pic:cNvPicPr/>
                  </pic:nvPicPr>
                  <pic:blipFill>
                    <a:blip r:embed="rId20"/>
                    <a:stretch>
                      <a:fillRect/>
                    </a:stretch>
                  </pic:blipFill>
                  <pic:spPr>
                    <a:xfrm>
                      <a:off x="0" y="0"/>
                      <a:ext cx="6111508" cy="2874238"/>
                    </a:xfrm>
                    <a:prstGeom prst="rect">
                      <a:avLst/>
                    </a:prstGeom>
                  </pic:spPr>
                </pic:pic>
              </a:graphicData>
            </a:graphic>
          </wp:inline>
        </w:drawing>
      </w:r>
    </w:p>
    <w:p w14:paraId="643CF448" w14:textId="77777777" w:rsidR="00EA313E" w:rsidRPr="0093413E" w:rsidRDefault="00EA313E" w:rsidP="00EA313E">
      <w:pPr>
        <w:spacing w:line="480" w:lineRule="auto"/>
        <w:ind w:left="360" w:firstLine="360"/>
        <w:rPr>
          <w:rFonts w:asciiTheme="majorBidi" w:hAnsiTheme="majorBidi" w:cstheme="majorBidi"/>
          <w:b/>
          <w:bCs/>
          <w:i/>
          <w:iCs/>
          <w:color w:val="000000"/>
          <w:sz w:val="24"/>
          <w:szCs w:val="24"/>
          <w:shd w:val="clear" w:color="auto" w:fill="FFFFFF"/>
        </w:rPr>
      </w:pPr>
      <w:r w:rsidRPr="0093413E">
        <w:rPr>
          <w:rFonts w:asciiTheme="majorBidi" w:hAnsiTheme="majorBidi" w:cstheme="majorBidi"/>
          <w:b/>
          <w:bCs/>
          <w:i/>
          <w:iCs/>
          <w:color w:val="000000"/>
          <w:sz w:val="24"/>
          <w:szCs w:val="24"/>
          <w:shd w:val="clear" w:color="auto" w:fill="FFFFFF"/>
        </w:rPr>
        <w:t xml:space="preserve">Source: </w:t>
      </w:r>
      <w:hyperlink r:id="rId21" w:tgtFrame="_blank" w:history="1">
        <w:r w:rsidRPr="0093413E">
          <w:rPr>
            <w:rStyle w:val="Hyperlink"/>
            <w:rFonts w:asciiTheme="majorBidi" w:hAnsiTheme="majorBidi" w:cstheme="majorBidi"/>
            <w:b/>
            <w:bCs/>
            <w:i/>
            <w:iCs/>
            <w:sz w:val="24"/>
            <w:szCs w:val="24"/>
            <w:shd w:val="clear" w:color="auto" w:fill="FFFFFF"/>
          </w:rPr>
          <w:t>LSEG ESG</w:t>
        </w:r>
      </w:hyperlink>
      <w:r w:rsidRPr="0093413E">
        <w:rPr>
          <w:rFonts w:asciiTheme="majorBidi" w:hAnsiTheme="majorBidi" w:cstheme="majorBidi"/>
          <w:b/>
          <w:bCs/>
          <w:i/>
          <w:iCs/>
          <w:color w:val="000000"/>
          <w:sz w:val="24"/>
          <w:szCs w:val="24"/>
          <w:shd w:val="clear" w:color="auto" w:fill="FFFFFF"/>
        </w:rPr>
        <w:t xml:space="preserve"> </w:t>
      </w:r>
    </w:p>
    <w:p w14:paraId="11745243" w14:textId="77777777" w:rsidR="00EA313E" w:rsidRDefault="00EA313E" w:rsidP="00EA313E">
      <w:pPr>
        <w:adjustRightInd w:val="0"/>
        <w:jc w:val="both"/>
        <w:rPr>
          <w:rFonts w:asciiTheme="majorBidi" w:hAnsiTheme="majorBidi" w:cstheme="majorBidi"/>
        </w:rPr>
      </w:pPr>
    </w:p>
    <w:p w14:paraId="4648217D" w14:textId="77777777" w:rsidR="00495D4F" w:rsidRDefault="00495D4F" w:rsidP="00EA313E">
      <w:pPr>
        <w:adjustRightInd w:val="0"/>
        <w:jc w:val="both"/>
        <w:rPr>
          <w:rFonts w:asciiTheme="majorBidi" w:hAnsiTheme="majorBidi" w:cstheme="majorBidi"/>
        </w:rPr>
      </w:pPr>
    </w:p>
    <w:p w14:paraId="346A2A63" w14:textId="77777777" w:rsidR="00495D4F" w:rsidRPr="00B67CC0" w:rsidRDefault="00495D4F" w:rsidP="00EA313E">
      <w:pPr>
        <w:adjustRightInd w:val="0"/>
        <w:jc w:val="both"/>
        <w:rPr>
          <w:rFonts w:asciiTheme="majorBidi" w:hAnsiTheme="majorBidi" w:cstheme="majorBidi"/>
        </w:rPr>
      </w:pPr>
    </w:p>
    <w:p w14:paraId="3684A198" w14:textId="77777777" w:rsidR="00EA313E" w:rsidRDefault="00EA313E" w:rsidP="00EA313E">
      <w:pPr>
        <w:pStyle w:val="paragraph"/>
        <w:spacing w:before="0" w:beforeAutospacing="0" w:after="0" w:afterAutospacing="0"/>
        <w:jc w:val="center"/>
        <w:textAlignment w:val="baseline"/>
        <w:rPr>
          <w:rFonts w:asciiTheme="majorBidi" w:eastAsiaTheme="minorHAnsi" w:hAnsiTheme="majorBidi" w:cstheme="majorBidi"/>
          <w:b/>
          <w:bCs/>
          <w:color w:val="000000"/>
          <w:sz w:val="22"/>
          <w:szCs w:val="22"/>
          <w:shd w:val="clear" w:color="auto" w:fill="FFFFFF"/>
        </w:rPr>
      </w:pPr>
      <w:r w:rsidRPr="00B67CC0">
        <w:rPr>
          <w:rFonts w:asciiTheme="majorBidi" w:eastAsiaTheme="minorHAnsi" w:hAnsiTheme="majorBidi" w:cstheme="majorBidi"/>
          <w:b/>
          <w:bCs/>
          <w:color w:val="000000"/>
          <w:sz w:val="22"/>
          <w:szCs w:val="22"/>
          <w:shd w:val="clear" w:color="auto" w:fill="FFFFFF"/>
        </w:rPr>
        <w:t xml:space="preserve">Table 1: The Sample </w:t>
      </w:r>
    </w:p>
    <w:p w14:paraId="1938021D" w14:textId="77777777" w:rsidR="00EA313E" w:rsidRPr="00B67CC0" w:rsidRDefault="00EA313E" w:rsidP="00EA313E">
      <w:pPr>
        <w:pStyle w:val="paragraph"/>
        <w:spacing w:before="0" w:beforeAutospacing="0" w:after="0" w:afterAutospacing="0"/>
        <w:textAlignment w:val="baseline"/>
        <w:rPr>
          <w:rFonts w:asciiTheme="majorBidi" w:eastAsiaTheme="minorHAnsi" w:hAnsiTheme="majorBidi" w:cstheme="majorBidi"/>
          <w:b/>
          <w:bCs/>
          <w:color w:val="000000"/>
          <w:sz w:val="22"/>
          <w:szCs w:val="22"/>
          <w:shd w:val="clear" w:color="auto" w:fill="FFFFFF"/>
        </w:rPr>
      </w:pPr>
      <w:r w:rsidRPr="00B67CC0">
        <w:rPr>
          <w:rFonts w:asciiTheme="majorBidi" w:eastAsiaTheme="minorHAnsi" w:hAnsiTheme="majorBidi" w:cstheme="majorBidi"/>
          <w:b/>
          <w:bCs/>
          <w:color w:val="000000"/>
          <w:shd w:val="clear" w:color="auto" w:fill="FFFFFF"/>
        </w:rPr>
        <w:t>Panel A</w:t>
      </w:r>
    </w:p>
    <w:tbl>
      <w:tblPr>
        <w:tblW w:w="5000" w:type="pct"/>
        <w:tblLayout w:type="fixed"/>
        <w:tblLook w:val="04A0" w:firstRow="1" w:lastRow="0" w:firstColumn="1" w:lastColumn="0" w:noHBand="0" w:noVBand="1"/>
      </w:tblPr>
      <w:tblGrid>
        <w:gridCol w:w="2128"/>
        <w:gridCol w:w="1204"/>
        <w:gridCol w:w="1206"/>
        <w:gridCol w:w="1206"/>
        <w:gridCol w:w="1206"/>
        <w:gridCol w:w="1206"/>
        <w:gridCol w:w="1204"/>
      </w:tblGrid>
      <w:tr w:rsidR="00EA313E" w:rsidRPr="00B67CC0" w14:paraId="688E8157" w14:textId="77777777" w:rsidTr="00F42F0F">
        <w:tc>
          <w:tcPr>
            <w:tcW w:w="1137" w:type="pct"/>
            <w:tcBorders>
              <w:top w:val="double" w:sz="4" w:space="0" w:color="auto"/>
              <w:bottom w:val="double" w:sz="4" w:space="0" w:color="auto"/>
            </w:tcBorders>
            <w:shd w:val="clear" w:color="auto" w:fill="auto"/>
          </w:tcPr>
          <w:p w14:paraId="14B5C75D"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Year</w:t>
            </w:r>
          </w:p>
        </w:tc>
        <w:tc>
          <w:tcPr>
            <w:tcW w:w="643" w:type="pct"/>
            <w:tcBorders>
              <w:top w:val="double" w:sz="4" w:space="0" w:color="auto"/>
              <w:bottom w:val="double" w:sz="4" w:space="0" w:color="auto"/>
            </w:tcBorders>
            <w:shd w:val="clear" w:color="auto" w:fill="auto"/>
            <w:vAlign w:val="center"/>
          </w:tcPr>
          <w:p w14:paraId="1CADF070" w14:textId="77777777" w:rsidR="00EA313E" w:rsidRPr="00B67CC0" w:rsidRDefault="00EA313E" w:rsidP="00F42F0F">
            <w:pPr>
              <w:widowControl/>
              <w:tabs>
                <w:tab w:val="decimal" w:pos="510"/>
              </w:tabs>
              <w:autoSpaceDE/>
              <w:autoSpaceDN/>
              <w:jc w:val="center"/>
              <w:rPr>
                <w:rFonts w:asciiTheme="majorBidi" w:hAnsiTheme="majorBidi" w:cstheme="majorBidi"/>
                <w:color w:val="000000"/>
                <w14:ligatures w14:val="none"/>
              </w:rPr>
            </w:pPr>
            <w:r w:rsidRPr="00DA6064">
              <w:rPr>
                <w:color w:val="000000"/>
                <w14:ligatures w14:val="none"/>
              </w:rPr>
              <w:t>Total Number of Bonds Issue</w:t>
            </w:r>
            <w:r>
              <w:rPr>
                <w:color w:val="000000"/>
                <w14:ligatures w14:val="none"/>
              </w:rPr>
              <w:t>d</w:t>
            </w:r>
          </w:p>
        </w:tc>
        <w:tc>
          <w:tcPr>
            <w:tcW w:w="644" w:type="pct"/>
            <w:tcBorders>
              <w:top w:val="double" w:sz="4" w:space="0" w:color="auto"/>
              <w:bottom w:val="double" w:sz="4" w:space="0" w:color="auto"/>
            </w:tcBorders>
            <w:shd w:val="clear" w:color="auto" w:fill="auto"/>
            <w:vAlign w:val="center"/>
          </w:tcPr>
          <w:p w14:paraId="57EDAE43" w14:textId="77777777" w:rsidR="00EA313E" w:rsidRPr="00B67CC0" w:rsidRDefault="00EA313E" w:rsidP="00F42F0F">
            <w:pPr>
              <w:widowControl/>
              <w:tabs>
                <w:tab w:val="decimal" w:pos="510"/>
              </w:tabs>
              <w:autoSpaceDE/>
              <w:autoSpaceDN/>
              <w:jc w:val="center"/>
              <w:rPr>
                <w:rFonts w:asciiTheme="majorBidi" w:hAnsiTheme="majorBidi" w:cstheme="majorBidi"/>
                <w:color w:val="000000"/>
                <w14:ligatures w14:val="none"/>
              </w:rPr>
            </w:pPr>
            <w:r w:rsidRPr="00E92BC7">
              <w:rPr>
                <w:color w:val="000000"/>
                <w14:ligatures w14:val="none"/>
              </w:rPr>
              <w:t>Issues without ESG</w:t>
            </w:r>
          </w:p>
        </w:tc>
        <w:tc>
          <w:tcPr>
            <w:tcW w:w="644" w:type="pct"/>
            <w:tcBorders>
              <w:top w:val="double" w:sz="4" w:space="0" w:color="auto"/>
              <w:bottom w:val="double" w:sz="4" w:space="0" w:color="auto"/>
            </w:tcBorders>
            <w:shd w:val="clear" w:color="auto" w:fill="auto"/>
            <w:vAlign w:val="center"/>
          </w:tcPr>
          <w:p w14:paraId="5443154F" w14:textId="77777777" w:rsidR="00EA313E" w:rsidRPr="00B67CC0" w:rsidRDefault="00EA313E" w:rsidP="00F42F0F">
            <w:pPr>
              <w:widowControl/>
              <w:tabs>
                <w:tab w:val="decimal" w:pos="510"/>
              </w:tabs>
              <w:autoSpaceDE/>
              <w:autoSpaceDN/>
              <w:jc w:val="center"/>
              <w:rPr>
                <w:rFonts w:asciiTheme="majorBidi" w:hAnsiTheme="majorBidi" w:cstheme="majorBidi"/>
                <w:color w:val="000000"/>
                <w14:ligatures w14:val="none"/>
              </w:rPr>
            </w:pPr>
            <w:r w:rsidRPr="00B43F8D">
              <w:rPr>
                <w:color w:val="000000"/>
                <w14:ligatures w14:val="none"/>
              </w:rPr>
              <w:t>Issues with ESG</w:t>
            </w:r>
          </w:p>
        </w:tc>
        <w:tc>
          <w:tcPr>
            <w:tcW w:w="644" w:type="pct"/>
            <w:tcBorders>
              <w:top w:val="double" w:sz="4" w:space="0" w:color="auto"/>
              <w:bottom w:val="double" w:sz="4" w:space="0" w:color="auto"/>
            </w:tcBorders>
            <w:vAlign w:val="center"/>
          </w:tcPr>
          <w:p w14:paraId="2C9550CA" w14:textId="77777777" w:rsidR="00EA313E" w:rsidRPr="00B43F8D" w:rsidRDefault="00EA313E" w:rsidP="00F42F0F">
            <w:pPr>
              <w:widowControl/>
              <w:tabs>
                <w:tab w:val="decimal" w:pos="510"/>
              </w:tabs>
              <w:autoSpaceDE/>
              <w:autoSpaceDN/>
              <w:jc w:val="center"/>
              <w:rPr>
                <w:color w:val="000000"/>
                <w14:ligatures w14:val="none"/>
              </w:rPr>
            </w:pPr>
            <w:r>
              <w:rPr>
                <w:color w:val="000000"/>
              </w:rPr>
              <w:t>Total Number of Issuer Firms</w:t>
            </w:r>
          </w:p>
        </w:tc>
        <w:tc>
          <w:tcPr>
            <w:tcW w:w="644" w:type="pct"/>
            <w:tcBorders>
              <w:top w:val="double" w:sz="4" w:space="0" w:color="auto"/>
              <w:bottom w:val="double" w:sz="4" w:space="0" w:color="auto"/>
            </w:tcBorders>
            <w:vAlign w:val="center"/>
          </w:tcPr>
          <w:p w14:paraId="77492E18" w14:textId="77777777" w:rsidR="00EA313E" w:rsidRPr="00B43F8D" w:rsidRDefault="00EA313E" w:rsidP="00F42F0F">
            <w:pPr>
              <w:widowControl/>
              <w:tabs>
                <w:tab w:val="decimal" w:pos="510"/>
              </w:tabs>
              <w:autoSpaceDE/>
              <w:autoSpaceDN/>
              <w:jc w:val="center"/>
              <w:rPr>
                <w:color w:val="000000"/>
                <w14:ligatures w14:val="none"/>
              </w:rPr>
            </w:pPr>
            <w:r>
              <w:rPr>
                <w:color w:val="000000"/>
              </w:rPr>
              <w:t>Total Number of Issuer without ESG</w:t>
            </w:r>
          </w:p>
        </w:tc>
        <w:tc>
          <w:tcPr>
            <w:tcW w:w="643" w:type="pct"/>
            <w:tcBorders>
              <w:top w:val="double" w:sz="4" w:space="0" w:color="auto"/>
              <w:bottom w:val="double" w:sz="4" w:space="0" w:color="auto"/>
            </w:tcBorders>
            <w:vAlign w:val="center"/>
          </w:tcPr>
          <w:p w14:paraId="4D7A5151" w14:textId="77777777" w:rsidR="00EA313E" w:rsidRPr="00B43F8D" w:rsidRDefault="00EA313E" w:rsidP="00F42F0F">
            <w:pPr>
              <w:widowControl/>
              <w:tabs>
                <w:tab w:val="decimal" w:pos="510"/>
              </w:tabs>
              <w:autoSpaceDE/>
              <w:autoSpaceDN/>
              <w:jc w:val="center"/>
              <w:rPr>
                <w:color w:val="000000"/>
                <w14:ligatures w14:val="none"/>
              </w:rPr>
            </w:pPr>
            <w:r>
              <w:rPr>
                <w:color w:val="000000"/>
              </w:rPr>
              <w:t>Total Number of Issuer with ESG</w:t>
            </w:r>
          </w:p>
        </w:tc>
      </w:tr>
      <w:tr w:rsidR="00EA313E" w:rsidRPr="00B67CC0" w14:paraId="56AD72EC" w14:textId="77777777" w:rsidTr="00F42F0F">
        <w:tc>
          <w:tcPr>
            <w:tcW w:w="1137" w:type="pct"/>
            <w:tcBorders>
              <w:top w:val="double" w:sz="4" w:space="0" w:color="auto"/>
              <w:bottom w:val="single" w:sz="4" w:space="0" w:color="auto"/>
            </w:tcBorders>
            <w:shd w:val="clear" w:color="auto" w:fill="auto"/>
            <w:noWrap/>
            <w:vAlign w:val="bottom"/>
            <w:hideMark/>
          </w:tcPr>
          <w:p w14:paraId="3E04DC8B"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200</w:t>
            </w:r>
            <w:r>
              <w:rPr>
                <w:rFonts w:asciiTheme="majorBidi" w:hAnsiTheme="majorBidi" w:cstheme="majorBidi"/>
                <w:color w:val="000000"/>
                <w14:ligatures w14:val="none"/>
              </w:rPr>
              <w:t>4</w:t>
            </w:r>
          </w:p>
        </w:tc>
        <w:tc>
          <w:tcPr>
            <w:tcW w:w="643" w:type="pct"/>
            <w:tcBorders>
              <w:top w:val="double" w:sz="4" w:space="0" w:color="auto"/>
              <w:bottom w:val="single" w:sz="4" w:space="0" w:color="auto"/>
            </w:tcBorders>
            <w:shd w:val="clear" w:color="auto" w:fill="auto"/>
            <w:noWrap/>
            <w:vAlign w:val="center"/>
            <w:hideMark/>
          </w:tcPr>
          <w:p w14:paraId="5B8D9696"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259</w:t>
            </w:r>
          </w:p>
        </w:tc>
        <w:tc>
          <w:tcPr>
            <w:tcW w:w="644" w:type="pct"/>
            <w:tcBorders>
              <w:top w:val="double" w:sz="4" w:space="0" w:color="auto"/>
              <w:bottom w:val="single" w:sz="4" w:space="0" w:color="auto"/>
            </w:tcBorders>
            <w:shd w:val="clear" w:color="auto" w:fill="auto"/>
            <w:noWrap/>
            <w:vAlign w:val="center"/>
            <w:hideMark/>
          </w:tcPr>
          <w:p w14:paraId="61D6ED61"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149</w:t>
            </w:r>
          </w:p>
        </w:tc>
        <w:tc>
          <w:tcPr>
            <w:tcW w:w="644" w:type="pct"/>
            <w:tcBorders>
              <w:top w:val="double" w:sz="4" w:space="0" w:color="auto"/>
              <w:bottom w:val="single" w:sz="4" w:space="0" w:color="auto"/>
            </w:tcBorders>
            <w:shd w:val="clear" w:color="auto" w:fill="auto"/>
            <w:noWrap/>
            <w:vAlign w:val="center"/>
            <w:hideMark/>
          </w:tcPr>
          <w:p w14:paraId="0D5D89DE"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110</w:t>
            </w:r>
          </w:p>
        </w:tc>
        <w:tc>
          <w:tcPr>
            <w:tcW w:w="644" w:type="pct"/>
            <w:tcBorders>
              <w:top w:val="double" w:sz="4" w:space="0" w:color="auto"/>
              <w:bottom w:val="single" w:sz="4" w:space="0" w:color="auto"/>
            </w:tcBorders>
            <w:vAlign w:val="center"/>
          </w:tcPr>
          <w:p w14:paraId="587EC524"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177</w:t>
            </w:r>
          </w:p>
        </w:tc>
        <w:tc>
          <w:tcPr>
            <w:tcW w:w="644" w:type="pct"/>
            <w:tcBorders>
              <w:top w:val="double" w:sz="4" w:space="0" w:color="auto"/>
              <w:bottom w:val="single" w:sz="4" w:space="0" w:color="auto"/>
            </w:tcBorders>
            <w:vAlign w:val="center"/>
          </w:tcPr>
          <w:p w14:paraId="125DD876"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111</w:t>
            </w:r>
          </w:p>
        </w:tc>
        <w:tc>
          <w:tcPr>
            <w:tcW w:w="643" w:type="pct"/>
            <w:tcBorders>
              <w:top w:val="double" w:sz="4" w:space="0" w:color="auto"/>
              <w:bottom w:val="single" w:sz="4" w:space="0" w:color="auto"/>
            </w:tcBorders>
            <w:vAlign w:val="center"/>
          </w:tcPr>
          <w:p w14:paraId="3545ED4D"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66</w:t>
            </w:r>
          </w:p>
        </w:tc>
      </w:tr>
      <w:tr w:rsidR="00EA313E" w:rsidRPr="00B67CC0" w14:paraId="5A2B9620" w14:textId="77777777" w:rsidTr="00F42F0F">
        <w:tc>
          <w:tcPr>
            <w:tcW w:w="1137" w:type="pct"/>
            <w:tcBorders>
              <w:top w:val="single" w:sz="4" w:space="0" w:color="auto"/>
              <w:bottom w:val="single" w:sz="4" w:space="0" w:color="auto"/>
            </w:tcBorders>
            <w:shd w:val="clear" w:color="auto" w:fill="auto"/>
            <w:noWrap/>
            <w:vAlign w:val="bottom"/>
            <w:hideMark/>
          </w:tcPr>
          <w:p w14:paraId="571E9A4E"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2005</w:t>
            </w:r>
          </w:p>
        </w:tc>
        <w:tc>
          <w:tcPr>
            <w:tcW w:w="643" w:type="pct"/>
            <w:tcBorders>
              <w:top w:val="single" w:sz="4" w:space="0" w:color="auto"/>
              <w:bottom w:val="single" w:sz="4" w:space="0" w:color="auto"/>
            </w:tcBorders>
            <w:shd w:val="clear" w:color="auto" w:fill="auto"/>
            <w:noWrap/>
            <w:vAlign w:val="center"/>
            <w:hideMark/>
          </w:tcPr>
          <w:p w14:paraId="4C12829E"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214</w:t>
            </w:r>
          </w:p>
        </w:tc>
        <w:tc>
          <w:tcPr>
            <w:tcW w:w="644" w:type="pct"/>
            <w:tcBorders>
              <w:top w:val="single" w:sz="4" w:space="0" w:color="auto"/>
              <w:bottom w:val="single" w:sz="4" w:space="0" w:color="auto"/>
            </w:tcBorders>
            <w:shd w:val="clear" w:color="auto" w:fill="auto"/>
            <w:noWrap/>
            <w:vAlign w:val="center"/>
            <w:hideMark/>
          </w:tcPr>
          <w:p w14:paraId="7D29D0E5"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83</w:t>
            </w:r>
          </w:p>
        </w:tc>
        <w:tc>
          <w:tcPr>
            <w:tcW w:w="644" w:type="pct"/>
            <w:tcBorders>
              <w:top w:val="single" w:sz="4" w:space="0" w:color="auto"/>
              <w:bottom w:val="single" w:sz="4" w:space="0" w:color="auto"/>
            </w:tcBorders>
            <w:shd w:val="clear" w:color="auto" w:fill="auto"/>
            <w:noWrap/>
            <w:vAlign w:val="center"/>
            <w:hideMark/>
          </w:tcPr>
          <w:p w14:paraId="483FD7CD"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131</w:t>
            </w:r>
          </w:p>
        </w:tc>
        <w:tc>
          <w:tcPr>
            <w:tcW w:w="644" w:type="pct"/>
            <w:tcBorders>
              <w:top w:val="single" w:sz="4" w:space="0" w:color="auto"/>
              <w:bottom w:val="single" w:sz="4" w:space="0" w:color="auto"/>
            </w:tcBorders>
            <w:vAlign w:val="center"/>
          </w:tcPr>
          <w:p w14:paraId="5446C1FE"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150</w:t>
            </w:r>
          </w:p>
        </w:tc>
        <w:tc>
          <w:tcPr>
            <w:tcW w:w="644" w:type="pct"/>
            <w:tcBorders>
              <w:top w:val="single" w:sz="4" w:space="0" w:color="auto"/>
              <w:bottom w:val="single" w:sz="4" w:space="0" w:color="auto"/>
            </w:tcBorders>
            <w:vAlign w:val="center"/>
          </w:tcPr>
          <w:p w14:paraId="398D040B"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66</w:t>
            </w:r>
          </w:p>
        </w:tc>
        <w:tc>
          <w:tcPr>
            <w:tcW w:w="643" w:type="pct"/>
            <w:tcBorders>
              <w:top w:val="single" w:sz="4" w:space="0" w:color="auto"/>
              <w:bottom w:val="single" w:sz="4" w:space="0" w:color="auto"/>
            </w:tcBorders>
            <w:vAlign w:val="center"/>
          </w:tcPr>
          <w:p w14:paraId="71E0DA82"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84</w:t>
            </w:r>
          </w:p>
        </w:tc>
      </w:tr>
      <w:tr w:rsidR="00EA313E" w:rsidRPr="00B67CC0" w14:paraId="08DB52DA" w14:textId="77777777" w:rsidTr="00F42F0F">
        <w:tc>
          <w:tcPr>
            <w:tcW w:w="1137" w:type="pct"/>
            <w:tcBorders>
              <w:top w:val="single" w:sz="4" w:space="0" w:color="auto"/>
              <w:bottom w:val="single" w:sz="4" w:space="0" w:color="auto"/>
            </w:tcBorders>
            <w:shd w:val="clear" w:color="auto" w:fill="auto"/>
            <w:noWrap/>
            <w:vAlign w:val="bottom"/>
            <w:hideMark/>
          </w:tcPr>
          <w:p w14:paraId="552B2EDA"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2006</w:t>
            </w:r>
          </w:p>
        </w:tc>
        <w:tc>
          <w:tcPr>
            <w:tcW w:w="643" w:type="pct"/>
            <w:tcBorders>
              <w:top w:val="single" w:sz="4" w:space="0" w:color="auto"/>
              <w:bottom w:val="single" w:sz="4" w:space="0" w:color="auto"/>
            </w:tcBorders>
            <w:shd w:val="clear" w:color="auto" w:fill="auto"/>
            <w:noWrap/>
            <w:vAlign w:val="center"/>
            <w:hideMark/>
          </w:tcPr>
          <w:p w14:paraId="74B14A3E"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236</w:t>
            </w:r>
          </w:p>
        </w:tc>
        <w:tc>
          <w:tcPr>
            <w:tcW w:w="644" w:type="pct"/>
            <w:tcBorders>
              <w:top w:val="single" w:sz="4" w:space="0" w:color="auto"/>
              <w:bottom w:val="single" w:sz="4" w:space="0" w:color="auto"/>
            </w:tcBorders>
            <w:shd w:val="clear" w:color="auto" w:fill="auto"/>
            <w:noWrap/>
            <w:vAlign w:val="center"/>
            <w:hideMark/>
          </w:tcPr>
          <w:p w14:paraId="507A1FB0"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78</w:t>
            </w:r>
          </w:p>
        </w:tc>
        <w:tc>
          <w:tcPr>
            <w:tcW w:w="644" w:type="pct"/>
            <w:tcBorders>
              <w:top w:val="single" w:sz="4" w:space="0" w:color="auto"/>
              <w:bottom w:val="single" w:sz="4" w:space="0" w:color="auto"/>
            </w:tcBorders>
            <w:shd w:val="clear" w:color="auto" w:fill="auto"/>
            <w:noWrap/>
            <w:vAlign w:val="center"/>
            <w:hideMark/>
          </w:tcPr>
          <w:p w14:paraId="781E83D1"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158</w:t>
            </w:r>
          </w:p>
        </w:tc>
        <w:tc>
          <w:tcPr>
            <w:tcW w:w="644" w:type="pct"/>
            <w:tcBorders>
              <w:top w:val="single" w:sz="4" w:space="0" w:color="auto"/>
              <w:bottom w:val="single" w:sz="4" w:space="0" w:color="auto"/>
            </w:tcBorders>
            <w:vAlign w:val="center"/>
          </w:tcPr>
          <w:p w14:paraId="45B3E3CF"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155</w:t>
            </w:r>
          </w:p>
        </w:tc>
        <w:tc>
          <w:tcPr>
            <w:tcW w:w="644" w:type="pct"/>
            <w:tcBorders>
              <w:top w:val="single" w:sz="4" w:space="0" w:color="auto"/>
              <w:bottom w:val="single" w:sz="4" w:space="0" w:color="auto"/>
            </w:tcBorders>
            <w:vAlign w:val="center"/>
          </w:tcPr>
          <w:p w14:paraId="213751D8"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62</w:t>
            </w:r>
          </w:p>
        </w:tc>
        <w:tc>
          <w:tcPr>
            <w:tcW w:w="643" w:type="pct"/>
            <w:tcBorders>
              <w:top w:val="single" w:sz="4" w:space="0" w:color="auto"/>
              <w:bottom w:val="single" w:sz="4" w:space="0" w:color="auto"/>
            </w:tcBorders>
            <w:vAlign w:val="center"/>
          </w:tcPr>
          <w:p w14:paraId="624B968C"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93</w:t>
            </w:r>
          </w:p>
        </w:tc>
      </w:tr>
      <w:tr w:rsidR="00EA313E" w:rsidRPr="00B67CC0" w14:paraId="2F01EACC" w14:textId="77777777" w:rsidTr="00F42F0F">
        <w:tc>
          <w:tcPr>
            <w:tcW w:w="1137" w:type="pct"/>
            <w:tcBorders>
              <w:top w:val="single" w:sz="4" w:space="0" w:color="auto"/>
              <w:bottom w:val="single" w:sz="4" w:space="0" w:color="auto"/>
            </w:tcBorders>
            <w:shd w:val="clear" w:color="auto" w:fill="auto"/>
            <w:noWrap/>
            <w:vAlign w:val="bottom"/>
            <w:hideMark/>
          </w:tcPr>
          <w:p w14:paraId="61062E70"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2007</w:t>
            </w:r>
          </w:p>
        </w:tc>
        <w:tc>
          <w:tcPr>
            <w:tcW w:w="643" w:type="pct"/>
            <w:tcBorders>
              <w:top w:val="single" w:sz="4" w:space="0" w:color="auto"/>
              <w:bottom w:val="single" w:sz="4" w:space="0" w:color="auto"/>
            </w:tcBorders>
            <w:shd w:val="clear" w:color="auto" w:fill="auto"/>
            <w:noWrap/>
            <w:vAlign w:val="center"/>
            <w:hideMark/>
          </w:tcPr>
          <w:p w14:paraId="45307633"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287</w:t>
            </w:r>
          </w:p>
        </w:tc>
        <w:tc>
          <w:tcPr>
            <w:tcW w:w="644" w:type="pct"/>
            <w:tcBorders>
              <w:top w:val="single" w:sz="4" w:space="0" w:color="auto"/>
              <w:bottom w:val="single" w:sz="4" w:space="0" w:color="auto"/>
            </w:tcBorders>
            <w:shd w:val="clear" w:color="auto" w:fill="auto"/>
            <w:noWrap/>
            <w:vAlign w:val="center"/>
            <w:hideMark/>
          </w:tcPr>
          <w:p w14:paraId="6F335180"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78</w:t>
            </w:r>
          </w:p>
        </w:tc>
        <w:tc>
          <w:tcPr>
            <w:tcW w:w="644" w:type="pct"/>
            <w:tcBorders>
              <w:top w:val="single" w:sz="4" w:space="0" w:color="auto"/>
              <w:bottom w:val="single" w:sz="4" w:space="0" w:color="auto"/>
            </w:tcBorders>
            <w:shd w:val="clear" w:color="auto" w:fill="auto"/>
            <w:noWrap/>
            <w:vAlign w:val="center"/>
            <w:hideMark/>
          </w:tcPr>
          <w:p w14:paraId="1ECA8693"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209</w:t>
            </w:r>
          </w:p>
        </w:tc>
        <w:tc>
          <w:tcPr>
            <w:tcW w:w="644" w:type="pct"/>
            <w:tcBorders>
              <w:top w:val="single" w:sz="4" w:space="0" w:color="auto"/>
              <w:bottom w:val="single" w:sz="4" w:space="0" w:color="auto"/>
            </w:tcBorders>
            <w:vAlign w:val="center"/>
          </w:tcPr>
          <w:p w14:paraId="5A997E9B"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160</w:t>
            </w:r>
          </w:p>
        </w:tc>
        <w:tc>
          <w:tcPr>
            <w:tcW w:w="644" w:type="pct"/>
            <w:tcBorders>
              <w:top w:val="single" w:sz="4" w:space="0" w:color="auto"/>
              <w:bottom w:val="single" w:sz="4" w:space="0" w:color="auto"/>
            </w:tcBorders>
            <w:vAlign w:val="center"/>
          </w:tcPr>
          <w:p w14:paraId="4D9AEBE8"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54</w:t>
            </w:r>
          </w:p>
        </w:tc>
        <w:tc>
          <w:tcPr>
            <w:tcW w:w="643" w:type="pct"/>
            <w:tcBorders>
              <w:top w:val="single" w:sz="4" w:space="0" w:color="auto"/>
              <w:bottom w:val="single" w:sz="4" w:space="0" w:color="auto"/>
            </w:tcBorders>
            <w:vAlign w:val="center"/>
          </w:tcPr>
          <w:p w14:paraId="4B58F6D3"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106</w:t>
            </w:r>
          </w:p>
        </w:tc>
      </w:tr>
      <w:tr w:rsidR="00EA313E" w:rsidRPr="00B67CC0" w14:paraId="29523CE1" w14:textId="77777777" w:rsidTr="00F42F0F">
        <w:tc>
          <w:tcPr>
            <w:tcW w:w="1137" w:type="pct"/>
            <w:tcBorders>
              <w:top w:val="single" w:sz="4" w:space="0" w:color="auto"/>
              <w:bottom w:val="single" w:sz="4" w:space="0" w:color="auto"/>
            </w:tcBorders>
            <w:shd w:val="clear" w:color="auto" w:fill="auto"/>
            <w:noWrap/>
            <w:vAlign w:val="bottom"/>
            <w:hideMark/>
          </w:tcPr>
          <w:p w14:paraId="77996E65"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2008</w:t>
            </w:r>
          </w:p>
        </w:tc>
        <w:tc>
          <w:tcPr>
            <w:tcW w:w="643" w:type="pct"/>
            <w:tcBorders>
              <w:top w:val="single" w:sz="4" w:space="0" w:color="auto"/>
              <w:bottom w:val="single" w:sz="4" w:space="0" w:color="auto"/>
            </w:tcBorders>
            <w:shd w:val="clear" w:color="auto" w:fill="auto"/>
            <w:noWrap/>
            <w:vAlign w:val="center"/>
            <w:hideMark/>
          </w:tcPr>
          <w:p w14:paraId="542D142C"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257</w:t>
            </w:r>
          </w:p>
        </w:tc>
        <w:tc>
          <w:tcPr>
            <w:tcW w:w="644" w:type="pct"/>
            <w:tcBorders>
              <w:top w:val="single" w:sz="4" w:space="0" w:color="auto"/>
              <w:bottom w:val="single" w:sz="4" w:space="0" w:color="auto"/>
            </w:tcBorders>
            <w:shd w:val="clear" w:color="auto" w:fill="auto"/>
            <w:noWrap/>
            <w:vAlign w:val="center"/>
            <w:hideMark/>
          </w:tcPr>
          <w:p w14:paraId="606BC302"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52</w:t>
            </w:r>
          </w:p>
        </w:tc>
        <w:tc>
          <w:tcPr>
            <w:tcW w:w="644" w:type="pct"/>
            <w:tcBorders>
              <w:top w:val="single" w:sz="4" w:space="0" w:color="auto"/>
              <w:bottom w:val="single" w:sz="4" w:space="0" w:color="auto"/>
            </w:tcBorders>
            <w:shd w:val="clear" w:color="auto" w:fill="auto"/>
            <w:noWrap/>
            <w:vAlign w:val="center"/>
            <w:hideMark/>
          </w:tcPr>
          <w:p w14:paraId="21251A91"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205</w:t>
            </w:r>
          </w:p>
        </w:tc>
        <w:tc>
          <w:tcPr>
            <w:tcW w:w="644" w:type="pct"/>
            <w:tcBorders>
              <w:top w:val="single" w:sz="4" w:space="0" w:color="auto"/>
              <w:bottom w:val="single" w:sz="4" w:space="0" w:color="auto"/>
            </w:tcBorders>
            <w:vAlign w:val="center"/>
          </w:tcPr>
          <w:p w14:paraId="2778E34D"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136</w:t>
            </w:r>
          </w:p>
        </w:tc>
        <w:tc>
          <w:tcPr>
            <w:tcW w:w="644" w:type="pct"/>
            <w:tcBorders>
              <w:top w:val="single" w:sz="4" w:space="0" w:color="auto"/>
              <w:bottom w:val="single" w:sz="4" w:space="0" w:color="auto"/>
            </w:tcBorders>
            <w:vAlign w:val="center"/>
          </w:tcPr>
          <w:p w14:paraId="63B4C468"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30</w:t>
            </w:r>
          </w:p>
        </w:tc>
        <w:tc>
          <w:tcPr>
            <w:tcW w:w="643" w:type="pct"/>
            <w:tcBorders>
              <w:top w:val="single" w:sz="4" w:space="0" w:color="auto"/>
              <w:bottom w:val="single" w:sz="4" w:space="0" w:color="auto"/>
            </w:tcBorders>
            <w:vAlign w:val="center"/>
          </w:tcPr>
          <w:p w14:paraId="28DFB5E8"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106</w:t>
            </w:r>
          </w:p>
        </w:tc>
      </w:tr>
      <w:tr w:rsidR="00EA313E" w:rsidRPr="00B67CC0" w14:paraId="46A425B8" w14:textId="77777777" w:rsidTr="00F42F0F">
        <w:tc>
          <w:tcPr>
            <w:tcW w:w="1137" w:type="pct"/>
            <w:tcBorders>
              <w:top w:val="single" w:sz="4" w:space="0" w:color="auto"/>
              <w:bottom w:val="single" w:sz="4" w:space="0" w:color="auto"/>
            </w:tcBorders>
            <w:shd w:val="clear" w:color="auto" w:fill="auto"/>
            <w:noWrap/>
            <w:vAlign w:val="bottom"/>
            <w:hideMark/>
          </w:tcPr>
          <w:p w14:paraId="52F65509"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2009</w:t>
            </w:r>
          </w:p>
        </w:tc>
        <w:tc>
          <w:tcPr>
            <w:tcW w:w="643" w:type="pct"/>
            <w:tcBorders>
              <w:top w:val="single" w:sz="4" w:space="0" w:color="auto"/>
              <w:bottom w:val="single" w:sz="4" w:space="0" w:color="auto"/>
            </w:tcBorders>
            <w:shd w:val="clear" w:color="auto" w:fill="auto"/>
            <w:noWrap/>
            <w:vAlign w:val="center"/>
            <w:hideMark/>
          </w:tcPr>
          <w:p w14:paraId="4F29172E"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407</w:t>
            </w:r>
          </w:p>
        </w:tc>
        <w:tc>
          <w:tcPr>
            <w:tcW w:w="644" w:type="pct"/>
            <w:tcBorders>
              <w:top w:val="single" w:sz="4" w:space="0" w:color="auto"/>
              <w:bottom w:val="single" w:sz="4" w:space="0" w:color="auto"/>
            </w:tcBorders>
            <w:shd w:val="clear" w:color="auto" w:fill="auto"/>
            <w:noWrap/>
            <w:vAlign w:val="center"/>
            <w:hideMark/>
          </w:tcPr>
          <w:p w14:paraId="766B228A"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72</w:t>
            </w:r>
          </w:p>
        </w:tc>
        <w:tc>
          <w:tcPr>
            <w:tcW w:w="644" w:type="pct"/>
            <w:tcBorders>
              <w:top w:val="single" w:sz="4" w:space="0" w:color="auto"/>
              <w:bottom w:val="single" w:sz="4" w:space="0" w:color="auto"/>
            </w:tcBorders>
            <w:shd w:val="clear" w:color="auto" w:fill="auto"/>
            <w:noWrap/>
            <w:vAlign w:val="center"/>
            <w:hideMark/>
          </w:tcPr>
          <w:p w14:paraId="0718F861"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335</w:t>
            </w:r>
          </w:p>
        </w:tc>
        <w:tc>
          <w:tcPr>
            <w:tcW w:w="644" w:type="pct"/>
            <w:tcBorders>
              <w:top w:val="single" w:sz="4" w:space="0" w:color="auto"/>
              <w:bottom w:val="single" w:sz="4" w:space="0" w:color="auto"/>
            </w:tcBorders>
            <w:vAlign w:val="center"/>
          </w:tcPr>
          <w:p w14:paraId="63FD589C"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247</w:t>
            </w:r>
          </w:p>
        </w:tc>
        <w:tc>
          <w:tcPr>
            <w:tcW w:w="644" w:type="pct"/>
            <w:tcBorders>
              <w:top w:val="single" w:sz="4" w:space="0" w:color="auto"/>
              <w:bottom w:val="single" w:sz="4" w:space="0" w:color="auto"/>
            </w:tcBorders>
            <w:vAlign w:val="center"/>
          </w:tcPr>
          <w:p w14:paraId="093D3B6E"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61</w:t>
            </w:r>
          </w:p>
        </w:tc>
        <w:tc>
          <w:tcPr>
            <w:tcW w:w="643" w:type="pct"/>
            <w:tcBorders>
              <w:top w:val="single" w:sz="4" w:space="0" w:color="auto"/>
              <w:bottom w:val="single" w:sz="4" w:space="0" w:color="auto"/>
            </w:tcBorders>
            <w:vAlign w:val="center"/>
          </w:tcPr>
          <w:p w14:paraId="0D1DADE0"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186</w:t>
            </w:r>
          </w:p>
        </w:tc>
      </w:tr>
      <w:tr w:rsidR="00EA313E" w:rsidRPr="00B67CC0" w14:paraId="1955BB4D" w14:textId="77777777" w:rsidTr="00F42F0F">
        <w:tc>
          <w:tcPr>
            <w:tcW w:w="1137" w:type="pct"/>
            <w:tcBorders>
              <w:top w:val="single" w:sz="4" w:space="0" w:color="auto"/>
              <w:bottom w:val="single" w:sz="4" w:space="0" w:color="auto"/>
            </w:tcBorders>
            <w:shd w:val="clear" w:color="auto" w:fill="auto"/>
            <w:noWrap/>
            <w:vAlign w:val="bottom"/>
            <w:hideMark/>
          </w:tcPr>
          <w:p w14:paraId="2247D84A"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2010</w:t>
            </w:r>
          </w:p>
        </w:tc>
        <w:tc>
          <w:tcPr>
            <w:tcW w:w="643" w:type="pct"/>
            <w:tcBorders>
              <w:top w:val="single" w:sz="4" w:space="0" w:color="auto"/>
              <w:bottom w:val="single" w:sz="4" w:space="0" w:color="auto"/>
            </w:tcBorders>
            <w:shd w:val="clear" w:color="auto" w:fill="auto"/>
            <w:noWrap/>
            <w:vAlign w:val="center"/>
            <w:hideMark/>
          </w:tcPr>
          <w:p w14:paraId="39415D8F"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419</w:t>
            </w:r>
          </w:p>
        </w:tc>
        <w:tc>
          <w:tcPr>
            <w:tcW w:w="644" w:type="pct"/>
            <w:tcBorders>
              <w:top w:val="single" w:sz="4" w:space="0" w:color="auto"/>
              <w:bottom w:val="single" w:sz="4" w:space="0" w:color="auto"/>
            </w:tcBorders>
            <w:shd w:val="clear" w:color="auto" w:fill="auto"/>
            <w:noWrap/>
            <w:vAlign w:val="center"/>
            <w:hideMark/>
          </w:tcPr>
          <w:p w14:paraId="1BAF0627"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120</w:t>
            </w:r>
          </w:p>
        </w:tc>
        <w:tc>
          <w:tcPr>
            <w:tcW w:w="644" w:type="pct"/>
            <w:tcBorders>
              <w:top w:val="single" w:sz="4" w:space="0" w:color="auto"/>
              <w:bottom w:val="single" w:sz="4" w:space="0" w:color="auto"/>
            </w:tcBorders>
            <w:shd w:val="clear" w:color="auto" w:fill="auto"/>
            <w:noWrap/>
            <w:vAlign w:val="center"/>
            <w:hideMark/>
          </w:tcPr>
          <w:p w14:paraId="248BB96C"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299</w:t>
            </w:r>
          </w:p>
        </w:tc>
        <w:tc>
          <w:tcPr>
            <w:tcW w:w="644" w:type="pct"/>
            <w:tcBorders>
              <w:top w:val="single" w:sz="4" w:space="0" w:color="auto"/>
              <w:bottom w:val="single" w:sz="4" w:space="0" w:color="auto"/>
            </w:tcBorders>
            <w:vAlign w:val="center"/>
          </w:tcPr>
          <w:p w14:paraId="1F552101"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276</w:t>
            </w:r>
          </w:p>
        </w:tc>
        <w:tc>
          <w:tcPr>
            <w:tcW w:w="644" w:type="pct"/>
            <w:tcBorders>
              <w:top w:val="single" w:sz="4" w:space="0" w:color="auto"/>
              <w:bottom w:val="single" w:sz="4" w:space="0" w:color="auto"/>
            </w:tcBorders>
            <w:vAlign w:val="center"/>
          </w:tcPr>
          <w:p w14:paraId="1FDFE2C1"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97</w:t>
            </w:r>
          </w:p>
        </w:tc>
        <w:tc>
          <w:tcPr>
            <w:tcW w:w="643" w:type="pct"/>
            <w:tcBorders>
              <w:top w:val="single" w:sz="4" w:space="0" w:color="auto"/>
              <w:bottom w:val="single" w:sz="4" w:space="0" w:color="auto"/>
            </w:tcBorders>
            <w:vAlign w:val="center"/>
          </w:tcPr>
          <w:p w14:paraId="6B0AD336"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179</w:t>
            </w:r>
          </w:p>
        </w:tc>
      </w:tr>
      <w:tr w:rsidR="00EA313E" w:rsidRPr="00B67CC0" w14:paraId="01ECC600" w14:textId="77777777" w:rsidTr="00F42F0F">
        <w:tc>
          <w:tcPr>
            <w:tcW w:w="1137" w:type="pct"/>
            <w:tcBorders>
              <w:top w:val="single" w:sz="4" w:space="0" w:color="auto"/>
              <w:bottom w:val="single" w:sz="4" w:space="0" w:color="auto"/>
            </w:tcBorders>
            <w:shd w:val="clear" w:color="auto" w:fill="auto"/>
            <w:noWrap/>
            <w:vAlign w:val="bottom"/>
            <w:hideMark/>
          </w:tcPr>
          <w:p w14:paraId="08FF360B"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2011</w:t>
            </w:r>
          </w:p>
        </w:tc>
        <w:tc>
          <w:tcPr>
            <w:tcW w:w="643" w:type="pct"/>
            <w:tcBorders>
              <w:top w:val="single" w:sz="4" w:space="0" w:color="auto"/>
              <w:bottom w:val="single" w:sz="4" w:space="0" w:color="auto"/>
            </w:tcBorders>
            <w:shd w:val="clear" w:color="auto" w:fill="auto"/>
            <w:noWrap/>
            <w:vAlign w:val="center"/>
            <w:hideMark/>
          </w:tcPr>
          <w:p w14:paraId="41C8F8E5"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415</w:t>
            </w:r>
          </w:p>
        </w:tc>
        <w:tc>
          <w:tcPr>
            <w:tcW w:w="644" w:type="pct"/>
            <w:tcBorders>
              <w:top w:val="single" w:sz="4" w:space="0" w:color="auto"/>
              <w:bottom w:val="single" w:sz="4" w:space="0" w:color="auto"/>
            </w:tcBorders>
            <w:shd w:val="clear" w:color="auto" w:fill="auto"/>
            <w:noWrap/>
            <w:vAlign w:val="center"/>
            <w:hideMark/>
          </w:tcPr>
          <w:p w14:paraId="56014C2C"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96</w:t>
            </w:r>
          </w:p>
        </w:tc>
        <w:tc>
          <w:tcPr>
            <w:tcW w:w="644" w:type="pct"/>
            <w:tcBorders>
              <w:top w:val="single" w:sz="4" w:space="0" w:color="auto"/>
              <w:bottom w:val="single" w:sz="4" w:space="0" w:color="auto"/>
            </w:tcBorders>
            <w:shd w:val="clear" w:color="auto" w:fill="auto"/>
            <w:noWrap/>
            <w:vAlign w:val="center"/>
            <w:hideMark/>
          </w:tcPr>
          <w:p w14:paraId="0AD40BCE"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319</w:t>
            </w:r>
          </w:p>
        </w:tc>
        <w:tc>
          <w:tcPr>
            <w:tcW w:w="644" w:type="pct"/>
            <w:tcBorders>
              <w:top w:val="single" w:sz="4" w:space="0" w:color="auto"/>
              <w:bottom w:val="single" w:sz="4" w:space="0" w:color="auto"/>
            </w:tcBorders>
            <w:vAlign w:val="center"/>
          </w:tcPr>
          <w:p w14:paraId="03D58CD2"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232</w:t>
            </w:r>
          </w:p>
        </w:tc>
        <w:tc>
          <w:tcPr>
            <w:tcW w:w="644" w:type="pct"/>
            <w:tcBorders>
              <w:top w:val="single" w:sz="4" w:space="0" w:color="auto"/>
              <w:bottom w:val="single" w:sz="4" w:space="0" w:color="auto"/>
            </w:tcBorders>
            <w:vAlign w:val="center"/>
          </w:tcPr>
          <w:p w14:paraId="3288037F"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78</w:t>
            </w:r>
          </w:p>
        </w:tc>
        <w:tc>
          <w:tcPr>
            <w:tcW w:w="643" w:type="pct"/>
            <w:tcBorders>
              <w:top w:val="single" w:sz="4" w:space="0" w:color="auto"/>
              <w:bottom w:val="single" w:sz="4" w:space="0" w:color="auto"/>
            </w:tcBorders>
            <w:vAlign w:val="center"/>
          </w:tcPr>
          <w:p w14:paraId="26FAE340"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154</w:t>
            </w:r>
          </w:p>
        </w:tc>
      </w:tr>
      <w:tr w:rsidR="00EA313E" w:rsidRPr="00B67CC0" w14:paraId="3D0D9E1A" w14:textId="77777777" w:rsidTr="00F42F0F">
        <w:tc>
          <w:tcPr>
            <w:tcW w:w="1137" w:type="pct"/>
            <w:tcBorders>
              <w:top w:val="single" w:sz="4" w:space="0" w:color="auto"/>
              <w:bottom w:val="single" w:sz="4" w:space="0" w:color="auto"/>
            </w:tcBorders>
            <w:shd w:val="clear" w:color="auto" w:fill="auto"/>
            <w:noWrap/>
            <w:vAlign w:val="bottom"/>
            <w:hideMark/>
          </w:tcPr>
          <w:p w14:paraId="7374A6DE"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2012</w:t>
            </w:r>
          </w:p>
        </w:tc>
        <w:tc>
          <w:tcPr>
            <w:tcW w:w="643" w:type="pct"/>
            <w:tcBorders>
              <w:top w:val="single" w:sz="4" w:space="0" w:color="auto"/>
              <w:bottom w:val="single" w:sz="4" w:space="0" w:color="auto"/>
            </w:tcBorders>
            <w:shd w:val="clear" w:color="auto" w:fill="auto"/>
            <w:noWrap/>
            <w:vAlign w:val="center"/>
            <w:hideMark/>
          </w:tcPr>
          <w:p w14:paraId="5D328DAE"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542</w:t>
            </w:r>
          </w:p>
        </w:tc>
        <w:tc>
          <w:tcPr>
            <w:tcW w:w="644" w:type="pct"/>
            <w:tcBorders>
              <w:top w:val="single" w:sz="4" w:space="0" w:color="auto"/>
              <w:bottom w:val="single" w:sz="4" w:space="0" w:color="auto"/>
            </w:tcBorders>
            <w:shd w:val="clear" w:color="auto" w:fill="auto"/>
            <w:noWrap/>
            <w:vAlign w:val="center"/>
            <w:hideMark/>
          </w:tcPr>
          <w:p w14:paraId="777246DE"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105</w:t>
            </w:r>
          </w:p>
        </w:tc>
        <w:tc>
          <w:tcPr>
            <w:tcW w:w="644" w:type="pct"/>
            <w:tcBorders>
              <w:top w:val="single" w:sz="4" w:space="0" w:color="auto"/>
              <w:bottom w:val="single" w:sz="4" w:space="0" w:color="auto"/>
            </w:tcBorders>
            <w:shd w:val="clear" w:color="auto" w:fill="auto"/>
            <w:noWrap/>
            <w:vAlign w:val="center"/>
            <w:hideMark/>
          </w:tcPr>
          <w:p w14:paraId="761599BF"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437</w:t>
            </w:r>
          </w:p>
        </w:tc>
        <w:tc>
          <w:tcPr>
            <w:tcW w:w="644" w:type="pct"/>
            <w:tcBorders>
              <w:top w:val="single" w:sz="4" w:space="0" w:color="auto"/>
              <w:bottom w:val="single" w:sz="4" w:space="0" w:color="auto"/>
            </w:tcBorders>
            <w:vAlign w:val="center"/>
          </w:tcPr>
          <w:p w14:paraId="35B83231"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304</w:t>
            </w:r>
          </w:p>
        </w:tc>
        <w:tc>
          <w:tcPr>
            <w:tcW w:w="644" w:type="pct"/>
            <w:tcBorders>
              <w:top w:val="single" w:sz="4" w:space="0" w:color="auto"/>
              <w:bottom w:val="single" w:sz="4" w:space="0" w:color="auto"/>
            </w:tcBorders>
            <w:vAlign w:val="center"/>
          </w:tcPr>
          <w:p w14:paraId="766A5ABD"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83</w:t>
            </w:r>
          </w:p>
        </w:tc>
        <w:tc>
          <w:tcPr>
            <w:tcW w:w="643" w:type="pct"/>
            <w:tcBorders>
              <w:top w:val="single" w:sz="4" w:space="0" w:color="auto"/>
              <w:bottom w:val="single" w:sz="4" w:space="0" w:color="auto"/>
            </w:tcBorders>
            <w:vAlign w:val="center"/>
          </w:tcPr>
          <w:p w14:paraId="6927F5CD"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221</w:t>
            </w:r>
          </w:p>
        </w:tc>
      </w:tr>
      <w:tr w:rsidR="00EA313E" w:rsidRPr="00B67CC0" w14:paraId="62F12C9F" w14:textId="77777777" w:rsidTr="00F42F0F">
        <w:tc>
          <w:tcPr>
            <w:tcW w:w="1137" w:type="pct"/>
            <w:tcBorders>
              <w:top w:val="single" w:sz="4" w:space="0" w:color="auto"/>
              <w:bottom w:val="single" w:sz="4" w:space="0" w:color="auto"/>
            </w:tcBorders>
            <w:shd w:val="clear" w:color="auto" w:fill="auto"/>
            <w:noWrap/>
            <w:vAlign w:val="bottom"/>
            <w:hideMark/>
          </w:tcPr>
          <w:p w14:paraId="4E77231C"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2013</w:t>
            </w:r>
          </w:p>
        </w:tc>
        <w:tc>
          <w:tcPr>
            <w:tcW w:w="643" w:type="pct"/>
            <w:tcBorders>
              <w:top w:val="single" w:sz="4" w:space="0" w:color="auto"/>
              <w:bottom w:val="single" w:sz="4" w:space="0" w:color="auto"/>
            </w:tcBorders>
            <w:shd w:val="clear" w:color="auto" w:fill="auto"/>
            <w:noWrap/>
            <w:vAlign w:val="center"/>
            <w:hideMark/>
          </w:tcPr>
          <w:p w14:paraId="4B8AD6F1"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509</w:t>
            </w:r>
          </w:p>
        </w:tc>
        <w:tc>
          <w:tcPr>
            <w:tcW w:w="644" w:type="pct"/>
            <w:tcBorders>
              <w:top w:val="single" w:sz="4" w:space="0" w:color="auto"/>
              <w:bottom w:val="single" w:sz="4" w:space="0" w:color="auto"/>
            </w:tcBorders>
            <w:shd w:val="clear" w:color="auto" w:fill="auto"/>
            <w:noWrap/>
            <w:vAlign w:val="center"/>
            <w:hideMark/>
          </w:tcPr>
          <w:p w14:paraId="2864B95D"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130</w:t>
            </w:r>
          </w:p>
        </w:tc>
        <w:tc>
          <w:tcPr>
            <w:tcW w:w="644" w:type="pct"/>
            <w:tcBorders>
              <w:top w:val="single" w:sz="4" w:space="0" w:color="auto"/>
              <w:bottom w:val="single" w:sz="4" w:space="0" w:color="auto"/>
            </w:tcBorders>
            <w:shd w:val="clear" w:color="auto" w:fill="auto"/>
            <w:noWrap/>
            <w:vAlign w:val="center"/>
            <w:hideMark/>
          </w:tcPr>
          <w:p w14:paraId="3B27E825"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379</w:t>
            </w:r>
          </w:p>
        </w:tc>
        <w:tc>
          <w:tcPr>
            <w:tcW w:w="644" w:type="pct"/>
            <w:tcBorders>
              <w:top w:val="single" w:sz="4" w:space="0" w:color="auto"/>
              <w:bottom w:val="single" w:sz="4" w:space="0" w:color="auto"/>
            </w:tcBorders>
            <w:vAlign w:val="center"/>
          </w:tcPr>
          <w:p w14:paraId="0501B899"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273</w:t>
            </w:r>
          </w:p>
        </w:tc>
        <w:tc>
          <w:tcPr>
            <w:tcW w:w="644" w:type="pct"/>
            <w:tcBorders>
              <w:top w:val="single" w:sz="4" w:space="0" w:color="auto"/>
              <w:bottom w:val="single" w:sz="4" w:space="0" w:color="auto"/>
            </w:tcBorders>
            <w:vAlign w:val="center"/>
          </w:tcPr>
          <w:p w14:paraId="2E13814D"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96</w:t>
            </w:r>
          </w:p>
        </w:tc>
        <w:tc>
          <w:tcPr>
            <w:tcW w:w="643" w:type="pct"/>
            <w:tcBorders>
              <w:top w:val="single" w:sz="4" w:space="0" w:color="auto"/>
              <w:bottom w:val="single" w:sz="4" w:space="0" w:color="auto"/>
            </w:tcBorders>
            <w:vAlign w:val="center"/>
          </w:tcPr>
          <w:p w14:paraId="3D5437E5"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177</w:t>
            </w:r>
          </w:p>
        </w:tc>
      </w:tr>
      <w:tr w:rsidR="00EA313E" w:rsidRPr="00B67CC0" w14:paraId="30816DAA" w14:textId="77777777" w:rsidTr="00F42F0F">
        <w:tc>
          <w:tcPr>
            <w:tcW w:w="1137" w:type="pct"/>
            <w:tcBorders>
              <w:top w:val="single" w:sz="4" w:space="0" w:color="auto"/>
              <w:bottom w:val="single" w:sz="4" w:space="0" w:color="auto"/>
            </w:tcBorders>
            <w:shd w:val="clear" w:color="auto" w:fill="auto"/>
            <w:noWrap/>
            <w:vAlign w:val="bottom"/>
            <w:hideMark/>
          </w:tcPr>
          <w:p w14:paraId="5949C732"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2014</w:t>
            </w:r>
          </w:p>
        </w:tc>
        <w:tc>
          <w:tcPr>
            <w:tcW w:w="643" w:type="pct"/>
            <w:tcBorders>
              <w:top w:val="single" w:sz="4" w:space="0" w:color="auto"/>
              <w:bottom w:val="single" w:sz="4" w:space="0" w:color="auto"/>
            </w:tcBorders>
            <w:shd w:val="clear" w:color="auto" w:fill="auto"/>
            <w:noWrap/>
            <w:vAlign w:val="center"/>
            <w:hideMark/>
          </w:tcPr>
          <w:p w14:paraId="7E6BB788"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550</w:t>
            </w:r>
          </w:p>
        </w:tc>
        <w:tc>
          <w:tcPr>
            <w:tcW w:w="644" w:type="pct"/>
            <w:tcBorders>
              <w:top w:val="single" w:sz="4" w:space="0" w:color="auto"/>
              <w:bottom w:val="single" w:sz="4" w:space="0" w:color="auto"/>
            </w:tcBorders>
            <w:shd w:val="clear" w:color="auto" w:fill="auto"/>
            <w:noWrap/>
            <w:vAlign w:val="center"/>
            <w:hideMark/>
          </w:tcPr>
          <w:p w14:paraId="056CCB9B"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114</w:t>
            </w:r>
          </w:p>
        </w:tc>
        <w:tc>
          <w:tcPr>
            <w:tcW w:w="644" w:type="pct"/>
            <w:tcBorders>
              <w:top w:val="single" w:sz="4" w:space="0" w:color="auto"/>
              <w:bottom w:val="single" w:sz="4" w:space="0" w:color="auto"/>
            </w:tcBorders>
            <w:shd w:val="clear" w:color="auto" w:fill="auto"/>
            <w:noWrap/>
            <w:vAlign w:val="center"/>
            <w:hideMark/>
          </w:tcPr>
          <w:p w14:paraId="39CB9BB4"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436</w:t>
            </w:r>
          </w:p>
        </w:tc>
        <w:tc>
          <w:tcPr>
            <w:tcW w:w="644" w:type="pct"/>
            <w:tcBorders>
              <w:top w:val="single" w:sz="4" w:space="0" w:color="auto"/>
              <w:bottom w:val="single" w:sz="4" w:space="0" w:color="auto"/>
            </w:tcBorders>
            <w:vAlign w:val="center"/>
          </w:tcPr>
          <w:p w14:paraId="53210A2D"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269</w:t>
            </w:r>
          </w:p>
        </w:tc>
        <w:tc>
          <w:tcPr>
            <w:tcW w:w="644" w:type="pct"/>
            <w:tcBorders>
              <w:top w:val="single" w:sz="4" w:space="0" w:color="auto"/>
              <w:bottom w:val="single" w:sz="4" w:space="0" w:color="auto"/>
            </w:tcBorders>
            <w:vAlign w:val="center"/>
          </w:tcPr>
          <w:p w14:paraId="35904C9F"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86</w:t>
            </w:r>
          </w:p>
        </w:tc>
        <w:tc>
          <w:tcPr>
            <w:tcW w:w="643" w:type="pct"/>
            <w:tcBorders>
              <w:top w:val="single" w:sz="4" w:space="0" w:color="auto"/>
              <w:bottom w:val="single" w:sz="4" w:space="0" w:color="auto"/>
            </w:tcBorders>
            <w:vAlign w:val="center"/>
          </w:tcPr>
          <w:p w14:paraId="7BD8354B"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183</w:t>
            </w:r>
          </w:p>
        </w:tc>
      </w:tr>
      <w:tr w:rsidR="00EA313E" w:rsidRPr="00B67CC0" w14:paraId="1FBA72C6" w14:textId="77777777" w:rsidTr="00F42F0F">
        <w:tc>
          <w:tcPr>
            <w:tcW w:w="1137" w:type="pct"/>
            <w:tcBorders>
              <w:top w:val="single" w:sz="4" w:space="0" w:color="auto"/>
              <w:bottom w:val="single" w:sz="4" w:space="0" w:color="auto"/>
            </w:tcBorders>
            <w:shd w:val="clear" w:color="auto" w:fill="auto"/>
            <w:noWrap/>
            <w:vAlign w:val="bottom"/>
            <w:hideMark/>
          </w:tcPr>
          <w:p w14:paraId="7058F07E"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2015</w:t>
            </w:r>
          </w:p>
        </w:tc>
        <w:tc>
          <w:tcPr>
            <w:tcW w:w="643" w:type="pct"/>
            <w:tcBorders>
              <w:top w:val="single" w:sz="4" w:space="0" w:color="auto"/>
              <w:bottom w:val="single" w:sz="4" w:space="0" w:color="auto"/>
            </w:tcBorders>
            <w:shd w:val="clear" w:color="auto" w:fill="auto"/>
            <w:noWrap/>
            <w:vAlign w:val="center"/>
            <w:hideMark/>
          </w:tcPr>
          <w:p w14:paraId="1F0EF488"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636</w:t>
            </w:r>
          </w:p>
        </w:tc>
        <w:tc>
          <w:tcPr>
            <w:tcW w:w="644" w:type="pct"/>
            <w:tcBorders>
              <w:top w:val="single" w:sz="4" w:space="0" w:color="auto"/>
              <w:bottom w:val="single" w:sz="4" w:space="0" w:color="auto"/>
            </w:tcBorders>
            <w:shd w:val="clear" w:color="auto" w:fill="auto"/>
            <w:noWrap/>
            <w:vAlign w:val="center"/>
            <w:hideMark/>
          </w:tcPr>
          <w:p w14:paraId="1BC7C878"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61</w:t>
            </w:r>
          </w:p>
        </w:tc>
        <w:tc>
          <w:tcPr>
            <w:tcW w:w="644" w:type="pct"/>
            <w:tcBorders>
              <w:top w:val="single" w:sz="4" w:space="0" w:color="auto"/>
              <w:bottom w:val="single" w:sz="4" w:space="0" w:color="auto"/>
            </w:tcBorders>
            <w:shd w:val="clear" w:color="auto" w:fill="auto"/>
            <w:noWrap/>
            <w:vAlign w:val="center"/>
            <w:hideMark/>
          </w:tcPr>
          <w:p w14:paraId="5A626CDF"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575</w:t>
            </w:r>
          </w:p>
        </w:tc>
        <w:tc>
          <w:tcPr>
            <w:tcW w:w="644" w:type="pct"/>
            <w:tcBorders>
              <w:top w:val="single" w:sz="4" w:space="0" w:color="auto"/>
              <w:bottom w:val="single" w:sz="4" w:space="0" w:color="auto"/>
            </w:tcBorders>
            <w:vAlign w:val="center"/>
          </w:tcPr>
          <w:p w14:paraId="0CF79995"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262</w:t>
            </w:r>
          </w:p>
        </w:tc>
        <w:tc>
          <w:tcPr>
            <w:tcW w:w="644" w:type="pct"/>
            <w:tcBorders>
              <w:top w:val="single" w:sz="4" w:space="0" w:color="auto"/>
              <w:bottom w:val="single" w:sz="4" w:space="0" w:color="auto"/>
            </w:tcBorders>
            <w:vAlign w:val="center"/>
          </w:tcPr>
          <w:p w14:paraId="11CB9231"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47</w:t>
            </w:r>
          </w:p>
        </w:tc>
        <w:tc>
          <w:tcPr>
            <w:tcW w:w="643" w:type="pct"/>
            <w:tcBorders>
              <w:top w:val="single" w:sz="4" w:space="0" w:color="auto"/>
              <w:bottom w:val="single" w:sz="4" w:space="0" w:color="auto"/>
            </w:tcBorders>
            <w:vAlign w:val="center"/>
          </w:tcPr>
          <w:p w14:paraId="49B429F5"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215</w:t>
            </w:r>
          </w:p>
        </w:tc>
      </w:tr>
      <w:tr w:rsidR="00EA313E" w:rsidRPr="00B67CC0" w14:paraId="6EF4538E" w14:textId="77777777" w:rsidTr="00F42F0F">
        <w:tc>
          <w:tcPr>
            <w:tcW w:w="1137" w:type="pct"/>
            <w:tcBorders>
              <w:top w:val="single" w:sz="4" w:space="0" w:color="auto"/>
              <w:bottom w:val="single" w:sz="4" w:space="0" w:color="auto"/>
            </w:tcBorders>
            <w:shd w:val="clear" w:color="auto" w:fill="auto"/>
            <w:noWrap/>
            <w:vAlign w:val="bottom"/>
            <w:hideMark/>
          </w:tcPr>
          <w:p w14:paraId="4ED1D671"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2016</w:t>
            </w:r>
          </w:p>
        </w:tc>
        <w:tc>
          <w:tcPr>
            <w:tcW w:w="643" w:type="pct"/>
            <w:tcBorders>
              <w:top w:val="single" w:sz="4" w:space="0" w:color="auto"/>
              <w:bottom w:val="single" w:sz="4" w:space="0" w:color="auto"/>
            </w:tcBorders>
            <w:shd w:val="clear" w:color="auto" w:fill="auto"/>
            <w:noWrap/>
            <w:vAlign w:val="center"/>
            <w:hideMark/>
          </w:tcPr>
          <w:p w14:paraId="631C95F3"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543</w:t>
            </w:r>
          </w:p>
        </w:tc>
        <w:tc>
          <w:tcPr>
            <w:tcW w:w="644" w:type="pct"/>
            <w:tcBorders>
              <w:top w:val="single" w:sz="4" w:space="0" w:color="auto"/>
              <w:bottom w:val="single" w:sz="4" w:space="0" w:color="auto"/>
            </w:tcBorders>
            <w:shd w:val="clear" w:color="auto" w:fill="auto"/>
            <w:noWrap/>
            <w:vAlign w:val="center"/>
            <w:hideMark/>
          </w:tcPr>
          <w:p w14:paraId="5AB17081"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30</w:t>
            </w:r>
          </w:p>
        </w:tc>
        <w:tc>
          <w:tcPr>
            <w:tcW w:w="644" w:type="pct"/>
            <w:tcBorders>
              <w:top w:val="single" w:sz="4" w:space="0" w:color="auto"/>
              <w:bottom w:val="single" w:sz="4" w:space="0" w:color="auto"/>
            </w:tcBorders>
            <w:shd w:val="clear" w:color="auto" w:fill="auto"/>
            <w:noWrap/>
            <w:vAlign w:val="center"/>
            <w:hideMark/>
          </w:tcPr>
          <w:p w14:paraId="6435EDE9"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513</w:t>
            </w:r>
          </w:p>
        </w:tc>
        <w:tc>
          <w:tcPr>
            <w:tcW w:w="644" w:type="pct"/>
            <w:tcBorders>
              <w:top w:val="single" w:sz="4" w:space="0" w:color="auto"/>
              <w:bottom w:val="single" w:sz="4" w:space="0" w:color="auto"/>
            </w:tcBorders>
            <w:vAlign w:val="center"/>
          </w:tcPr>
          <w:p w14:paraId="03F4F6D0"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228</w:t>
            </w:r>
          </w:p>
        </w:tc>
        <w:tc>
          <w:tcPr>
            <w:tcW w:w="644" w:type="pct"/>
            <w:tcBorders>
              <w:top w:val="single" w:sz="4" w:space="0" w:color="auto"/>
              <w:bottom w:val="single" w:sz="4" w:space="0" w:color="auto"/>
            </w:tcBorders>
            <w:vAlign w:val="center"/>
          </w:tcPr>
          <w:p w14:paraId="67AD4401"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21</w:t>
            </w:r>
          </w:p>
        </w:tc>
        <w:tc>
          <w:tcPr>
            <w:tcW w:w="643" w:type="pct"/>
            <w:tcBorders>
              <w:top w:val="single" w:sz="4" w:space="0" w:color="auto"/>
              <w:bottom w:val="single" w:sz="4" w:space="0" w:color="auto"/>
            </w:tcBorders>
            <w:vAlign w:val="center"/>
          </w:tcPr>
          <w:p w14:paraId="7D16CE46"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207</w:t>
            </w:r>
          </w:p>
        </w:tc>
      </w:tr>
      <w:tr w:rsidR="00EA313E" w:rsidRPr="00B67CC0" w14:paraId="13AEF040" w14:textId="77777777" w:rsidTr="00F42F0F">
        <w:tc>
          <w:tcPr>
            <w:tcW w:w="1137" w:type="pct"/>
            <w:tcBorders>
              <w:top w:val="single" w:sz="4" w:space="0" w:color="auto"/>
              <w:bottom w:val="single" w:sz="4" w:space="0" w:color="auto"/>
            </w:tcBorders>
            <w:shd w:val="clear" w:color="auto" w:fill="auto"/>
            <w:noWrap/>
            <w:vAlign w:val="bottom"/>
            <w:hideMark/>
          </w:tcPr>
          <w:p w14:paraId="2E365FCE"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2017</w:t>
            </w:r>
          </w:p>
        </w:tc>
        <w:tc>
          <w:tcPr>
            <w:tcW w:w="643" w:type="pct"/>
            <w:tcBorders>
              <w:top w:val="single" w:sz="4" w:space="0" w:color="auto"/>
              <w:bottom w:val="single" w:sz="4" w:space="0" w:color="auto"/>
            </w:tcBorders>
            <w:shd w:val="clear" w:color="auto" w:fill="auto"/>
            <w:noWrap/>
            <w:vAlign w:val="center"/>
            <w:hideMark/>
          </w:tcPr>
          <w:p w14:paraId="770626FE"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585</w:t>
            </w:r>
          </w:p>
        </w:tc>
        <w:tc>
          <w:tcPr>
            <w:tcW w:w="644" w:type="pct"/>
            <w:tcBorders>
              <w:top w:val="single" w:sz="4" w:space="0" w:color="auto"/>
              <w:bottom w:val="single" w:sz="4" w:space="0" w:color="auto"/>
            </w:tcBorders>
            <w:shd w:val="clear" w:color="auto" w:fill="auto"/>
            <w:noWrap/>
            <w:vAlign w:val="center"/>
            <w:hideMark/>
          </w:tcPr>
          <w:p w14:paraId="4212D137"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53</w:t>
            </w:r>
          </w:p>
        </w:tc>
        <w:tc>
          <w:tcPr>
            <w:tcW w:w="644" w:type="pct"/>
            <w:tcBorders>
              <w:top w:val="single" w:sz="4" w:space="0" w:color="auto"/>
              <w:bottom w:val="single" w:sz="4" w:space="0" w:color="auto"/>
            </w:tcBorders>
            <w:shd w:val="clear" w:color="auto" w:fill="auto"/>
            <w:noWrap/>
            <w:vAlign w:val="center"/>
            <w:hideMark/>
          </w:tcPr>
          <w:p w14:paraId="66F0F708"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532</w:t>
            </w:r>
          </w:p>
        </w:tc>
        <w:tc>
          <w:tcPr>
            <w:tcW w:w="644" w:type="pct"/>
            <w:tcBorders>
              <w:top w:val="single" w:sz="4" w:space="0" w:color="auto"/>
              <w:bottom w:val="single" w:sz="4" w:space="0" w:color="auto"/>
            </w:tcBorders>
            <w:vAlign w:val="center"/>
          </w:tcPr>
          <w:p w14:paraId="4541D5C2"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258</w:t>
            </w:r>
          </w:p>
        </w:tc>
        <w:tc>
          <w:tcPr>
            <w:tcW w:w="644" w:type="pct"/>
            <w:tcBorders>
              <w:top w:val="single" w:sz="4" w:space="0" w:color="auto"/>
              <w:bottom w:val="single" w:sz="4" w:space="0" w:color="auto"/>
            </w:tcBorders>
            <w:vAlign w:val="center"/>
          </w:tcPr>
          <w:p w14:paraId="09B243E1"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31</w:t>
            </w:r>
          </w:p>
        </w:tc>
        <w:tc>
          <w:tcPr>
            <w:tcW w:w="643" w:type="pct"/>
            <w:tcBorders>
              <w:top w:val="single" w:sz="4" w:space="0" w:color="auto"/>
              <w:bottom w:val="single" w:sz="4" w:space="0" w:color="auto"/>
            </w:tcBorders>
            <w:vAlign w:val="center"/>
          </w:tcPr>
          <w:p w14:paraId="16E2BE65"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227</w:t>
            </w:r>
          </w:p>
        </w:tc>
      </w:tr>
      <w:tr w:rsidR="00EA313E" w:rsidRPr="00B67CC0" w14:paraId="19FB154A" w14:textId="77777777" w:rsidTr="00F42F0F">
        <w:tc>
          <w:tcPr>
            <w:tcW w:w="1137" w:type="pct"/>
            <w:tcBorders>
              <w:top w:val="single" w:sz="4" w:space="0" w:color="auto"/>
              <w:bottom w:val="single" w:sz="4" w:space="0" w:color="auto"/>
            </w:tcBorders>
            <w:shd w:val="clear" w:color="auto" w:fill="auto"/>
            <w:noWrap/>
            <w:vAlign w:val="bottom"/>
            <w:hideMark/>
          </w:tcPr>
          <w:p w14:paraId="39438CA2"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2018</w:t>
            </w:r>
          </w:p>
        </w:tc>
        <w:tc>
          <w:tcPr>
            <w:tcW w:w="643" w:type="pct"/>
            <w:tcBorders>
              <w:top w:val="single" w:sz="4" w:space="0" w:color="auto"/>
              <w:bottom w:val="single" w:sz="4" w:space="0" w:color="auto"/>
            </w:tcBorders>
            <w:shd w:val="clear" w:color="auto" w:fill="auto"/>
            <w:noWrap/>
            <w:vAlign w:val="center"/>
            <w:hideMark/>
          </w:tcPr>
          <w:p w14:paraId="6F770455"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396</w:t>
            </w:r>
          </w:p>
        </w:tc>
        <w:tc>
          <w:tcPr>
            <w:tcW w:w="644" w:type="pct"/>
            <w:tcBorders>
              <w:top w:val="single" w:sz="4" w:space="0" w:color="auto"/>
              <w:bottom w:val="single" w:sz="4" w:space="0" w:color="auto"/>
            </w:tcBorders>
            <w:shd w:val="clear" w:color="auto" w:fill="auto"/>
            <w:noWrap/>
            <w:vAlign w:val="center"/>
            <w:hideMark/>
          </w:tcPr>
          <w:p w14:paraId="43EE16C8"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34</w:t>
            </w:r>
          </w:p>
        </w:tc>
        <w:tc>
          <w:tcPr>
            <w:tcW w:w="644" w:type="pct"/>
            <w:tcBorders>
              <w:top w:val="single" w:sz="4" w:space="0" w:color="auto"/>
              <w:bottom w:val="single" w:sz="4" w:space="0" w:color="auto"/>
            </w:tcBorders>
            <w:shd w:val="clear" w:color="auto" w:fill="auto"/>
            <w:noWrap/>
            <w:vAlign w:val="center"/>
            <w:hideMark/>
          </w:tcPr>
          <w:p w14:paraId="1FECD1B2"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362</w:t>
            </w:r>
          </w:p>
        </w:tc>
        <w:tc>
          <w:tcPr>
            <w:tcW w:w="644" w:type="pct"/>
            <w:tcBorders>
              <w:top w:val="single" w:sz="4" w:space="0" w:color="auto"/>
              <w:bottom w:val="single" w:sz="4" w:space="0" w:color="auto"/>
            </w:tcBorders>
            <w:vAlign w:val="center"/>
          </w:tcPr>
          <w:p w14:paraId="5B3567BD"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171</w:t>
            </w:r>
          </w:p>
        </w:tc>
        <w:tc>
          <w:tcPr>
            <w:tcW w:w="644" w:type="pct"/>
            <w:tcBorders>
              <w:top w:val="single" w:sz="4" w:space="0" w:color="auto"/>
              <w:bottom w:val="single" w:sz="4" w:space="0" w:color="auto"/>
            </w:tcBorders>
            <w:vAlign w:val="center"/>
          </w:tcPr>
          <w:p w14:paraId="2AD9A1D7"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15</w:t>
            </w:r>
          </w:p>
        </w:tc>
        <w:tc>
          <w:tcPr>
            <w:tcW w:w="643" w:type="pct"/>
            <w:tcBorders>
              <w:top w:val="single" w:sz="4" w:space="0" w:color="auto"/>
              <w:bottom w:val="single" w:sz="4" w:space="0" w:color="auto"/>
            </w:tcBorders>
            <w:vAlign w:val="center"/>
          </w:tcPr>
          <w:p w14:paraId="7A228952"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156</w:t>
            </w:r>
          </w:p>
        </w:tc>
      </w:tr>
      <w:tr w:rsidR="00EA313E" w:rsidRPr="00B67CC0" w14:paraId="5B6E961B" w14:textId="77777777" w:rsidTr="00F42F0F">
        <w:tc>
          <w:tcPr>
            <w:tcW w:w="1137" w:type="pct"/>
            <w:tcBorders>
              <w:top w:val="single" w:sz="4" w:space="0" w:color="auto"/>
              <w:bottom w:val="single" w:sz="4" w:space="0" w:color="auto"/>
            </w:tcBorders>
            <w:shd w:val="clear" w:color="auto" w:fill="auto"/>
            <w:noWrap/>
            <w:vAlign w:val="bottom"/>
            <w:hideMark/>
          </w:tcPr>
          <w:p w14:paraId="506C6D28"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2019</w:t>
            </w:r>
          </w:p>
        </w:tc>
        <w:tc>
          <w:tcPr>
            <w:tcW w:w="643" w:type="pct"/>
            <w:tcBorders>
              <w:top w:val="single" w:sz="4" w:space="0" w:color="auto"/>
              <w:bottom w:val="single" w:sz="4" w:space="0" w:color="auto"/>
            </w:tcBorders>
            <w:shd w:val="clear" w:color="auto" w:fill="auto"/>
            <w:noWrap/>
            <w:vAlign w:val="center"/>
            <w:hideMark/>
          </w:tcPr>
          <w:p w14:paraId="6AA476FD"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498</w:t>
            </w:r>
          </w:p>
        </w:tc>
        <w:tc>
          <w:tcPr>
            <w:tcW w:w="644" w:type="pct"/>
            <w:tcBorders>
              <w:top w:val="single" w:sz="4" w:space="0" w:color="auto"/>
              <w:bottom w:val="single" w:sz="4" w:space="0" w:color="auto"/>
            </w:tcBorders>
            <w:shd w:val="clear" w:color="auto" w:fill="auto"/>
            <w:noWrap/>
            <w:vAlign w:val="center"/>
            <w:hideMark/>
          </w:tcPr>
          <w:p w14:paraId="4275B17C"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25</w:t>
            </w:r>
          </w:p>
        </w:tc>
        <w:tc>
          <w:tcPr>
            <w:tcW w:w="644" w:type="pct"/>
            <w:tcBorders>
              <w:top w:val="single" w:sz="4" w:space="0" w:color="auto"/>
              <w:bottom w:val="single" w:sz="4" w:space="0" w:color="auto"/>
            </w:tcBorders>
            <w:shd w:val="clear" w:color="auto" w:fill="auto"/>
            <w:noWrap/>
            <w:vAlign w:val="center"/>
            <w:hideMark/>
          </w:tcPr>
          <w:p w14:paraId="3826B944"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473</w:t>
            </w:r>
          </w:p>
        </w:tc>
        <w:tc>
          <w:tcPr>
            <w:tcW w:w="644" w:type="pct"/>
            <w:tcBorders>
              <w:top w:val="single" w:sz="4" w:space="0" w:color="auto"/>
              <w:bottom w:val="single" w:sz="4" w:space="0" w:color="auto"/>
            </w:tcBorders>
            <w:vAlign w:val="center"/>
          </w:tcPr>
          <w:p w14:paraId="409E29AA"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221</w:t>
            </w:r>
          </w:p>
        </w:tc>
        <w:tc>
          <w:tcPr>
            <w:tcW w:w="644" w:type="pct"/>
            <w:tcBorders>
              <w:top w:val="single" w:sz="4" w:space="0" w:color="auto"/>
              <w:bottom w:val="single" w:sz="4" w:space="0" w:color="auto"/>
            </w:tcBorders>
            <w:vAlign w:val="center"/>
          </w:tcPr>
          <w:p w14:paraId="0EB12EEF"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20</w:t>
            </w:r>
          </w:p>
        </w:tc>
        <w:tc>
          <w:tcPr>
            <w:tcW w:w="643" w:type="pct"/>
            <w:tcBorders>
              <w:top w:val="single" w:sz="4" w:space="0" w:color="auto"/>
              <w:bottom w:val="single" w:sz="4" w:space="0" w:color="auto"/>
            </w:tcBorders>
            <w:vAlign w:val="center"/>
          </w:tcPr>
          <w:p w14:paraId="3E6247F0"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201</w:t>
            </w:r>
          </w:p>
        </w:tc>
      </w:tr>
      <w:tr w:rsidR="00EA313E" w:rsidRPr="00B67CC0" w14:paraId="5504E2CC" w14:textId="77777777" w:rsidTr="00F42F0F">
        <w:tc>
          <w:tcPr>
            <w:tcW w:w="1137" w:type="pct"/>
            <w:tcBorders>
              <w:top w:val="single" w:sz="4" w:space="0" w:color="auto"/>
              <w:bottom w:val="single" w:sz="4" w:space="0" w:color="auto"/>
            </w:tcBorders>
            <w:shd w:val="clear" w:color="auto" w:fill="auto"/>
            <w:noWrap/>
            <w:vAlign w:val="bottom"/>
            <w:hideMark/>
          </w:tcPr>
          <w:p w14:paraId="3C81746F"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2020</w:t>
            </w:r>
          </w:p>
        </w:tc>
        <w:tc>
          <w:tcPr>
            <w:tcW w:w="643" w:type="pct"/>
            <w:tcBorders>
              <w:top w:val="single" w:sz="4" w:space="0" w:color="auto"/>
              <w:bottom w:val="single" w:sz="4" w:space="0" w:color="auto"/>
            </w:tcBorders>
            <w:shd w:val="clear" w:color="auto" w:fill="auto"/>
            <w:noWrap/>
            <w:vAlign w:val="center"/>
            <w:hideMark/>
          </w:tcPr>
          <w:p w14:paraId="4D5C8C02"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851</w:t>
            </w:r>
          </w:p>
        </w:tc>
        <w:tc>
          <w:tcPr>
            <w:tcW w:w="644" w:type="pct"/>
            <w:tcBorders>
              <w:top w:val="single" w:sz="4" w:space="0" w:color="auto"/>
              <w:bottom w:val="single" w:sz="4" w:space="0" w:color="auto"/>
            </w:tcBorders>
            <w:shd w:val="clear" w:color="auto" w:fill="auto"/>
            <w:noWrap/>
            <w:vAlign w:val="center"/>
            <w:hideMark/>
          </w:tcPr>
          <w:p w14:paraId="7273FFB7"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24</w:t>
            </w:r>
          </w:p>
        </w:tc>
        <w:tc>
          <w:tcPr>
            <w:tcW w:w="644" w:type="pct"/>
            <w:tcBorders>
              <w:top w:val="single" w:sz="4" w:space="0" w:color="auto"/>
              <w:bottom w:val="single" w:sz="4" w:space="0" w:color="auto"/>
            </w:tcBorders>
            <w:shd w:val="clear" w:color="auto" w:fill="auto"/>
            <w:noWrap/>
            <w:vAlign w:val="center"/>
            <w:hideMark/>
          </w:tcPr>
          <w:p w14:paraId="67260B43"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827</w:t>
            </w:r>
          </w:p>
        </w:tc>
        <w:tc>
          <w:tcPr>
            <w:tcW w:w="644" w:type="pct"/>
            <w:tcBorders>
              <w:top w:val="single" w:sz="4" w:space="0" w:color="auto"/>
              <w:bottom w:val="single" w:sz="4" w:space="0" w:color="auto"/>
            </w:tcBorders>
            <w:vAlign w:val="center"/>
          </w:tcPr>
          <w:p w14:paraId="398AE5E1"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335</w:t>
            </w:r>
          </w:p>
        </w:tc>
        <w:tc>
          <w:tcPr>
            <w:tcW w:w="644" w:type="pct"/>
            <w:tcBorders>
              <w:top w:val="single" w:sz="4" w:space="0" w:color="auto"/>
              <w:bottom w:val="single" w:sz="4" w:space="0" w:color="auto"/>
            </w:tcBorders>
            <w:vAlign w:val="center"/>
          </w:tcPr>
          <w:p w14:paraId="20A1A8BB"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15</w:t>
            </w:r>
          </w:p>
        </w:tc>
        <w:tc>
          <w:tcPr>
            <w:tcW w:w="643" w:type="pct"/>
            <w:tcBorders>
              <w:top w:val="single" w:sz="4" w:space="0" w:color="auto"/>
              <w:bottom w:val="single" w:sz="4" w:space="0" w:color="auto"/>
            </w:tcBorders>
            <w:vAlign w:val="center"/>
          </w:tcPr>
          <w:p w14:paraId="74D2C60D"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320</w:t>
            </w:r>
          </w:p>
        </w:tc>
      </w:tr>
      <w:tr w:rsidR="00EA313E" w:rsidRPr="00B67CC0" w14:paraId="38A20C50" w14:textId="77777777" w:rsidTr="00F42F0F">
        <w:tc>
          <w:tcPr>
            <w:tcW w:w="1137" w:type="pct"/>
            <w:tcBorders>
              <w:top w:val="single" w:sz="4" w:space="0" w:color="auto"/>
              <w:bottom w:val="single" w:sz="4" w:space="0" w:color="auto"/>
            </w:tcBorders>
            <w:shd w:val="clear" w:color="auto" w:fill="auto"/>
            <w:noWrap/>
            <w:vAlign w:val="bottom"/>
            <w:hideMark/>
          </w:tcPr>
          <w:p w14:paraId="377D928A"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2021</w:t>
            </w:r>
          </w:p>
        </w:tc>
        <w:tc>
          <w:tcPr>
            <w:tcW w:w="643" w:type="pct"/>
            <w:tcBorders>
              <w:top w:val="single" w:sz="4" w:space="0" w:color="auto"/>
              <w:bottom w:val="single" w:sz="4" w:space="0" w:color="auto"/>
            </w:tcBorders>
            <w:shd w:val="clear" w:color="auto" w:fill="auto"/>
            <w:noWrap/>
            <w:vAlign w:val="center"/>
            <w:hideMark/>
          </w:tcPr>
          <w:p w14:paraId="676B7738"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553</w:t>
            </w:r>
          </w:p>
        </w:tc>
        <w:tc>
          <w:tcPr>
            <w:tcW w:w="644" w:type="pct"/>
            <w:tcBorders>
              <w:top w:val="single" w:sz="4" w:space="0" w:color="auto"/>
              <w:bottom w:val="single" w:sz="4" w:space="0" w:color="auto"/>
            </w:tcBorders>
            <w:shd w:val="clear" w:color="auto" w:fill="auto"/>
            <w:noWrap/>
            <w:vAlign w:val="center"/>
            <w:hideMark/>
          </w:tcPr>
          <w:p w14:paraId="20C99D4D"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87</w:t>
            </w:r>
          </w:p>
        </w:tc>
        <w:tc>
          <w:tcPr>
            <w:tcW w:w="644" w:type="pct"/>
            <w:tcBorders>
              <w:top w:val="single" w:sz="4" w:space="0" w:color="auto"/>
              <w:bottom w:val="single" w:sz="4" w:space="0" w:color="auto"/>
            </w:tcBorders>
            <w:shd w:val="clear" w:color="auto" w:fill="auto"/>
            <w:noWrap/>
            <w:vAlign w:val="center"/>
            <w:hideMark/>
          </w:tcPr>
          <w:p w14:paraId="71A45369"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466</w:t>
            </w:r>
          </w:p>
        </w:tc>
        <w:tc>
          <w:tcPr>
            <w:tcW w:w="644" w:type="pct"/>
            <w:tcBorders>
              <w:top w:val="single" w:sz="4" w:space="0" w:color="auto"/>
              <w:bottom w:val="single" w:sz="4" w:space="0" w:color="auto"/>
            </w:tcBorders>
            <w:vAlign w:val="center"/>
          </w:tcPr>
          <w:p w14:paraId="4820C513"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281</w:t>
            </w:r>
          </w:p>
        </w:tc>
        <w:tc>
          <w:tcPr>
            <w:tcW w:w="644" w:type="pct"/>
            <w:tcBorders>
              <w:top w:val="single" w:sz="4" w:space="0" w:color="auto"/>
              <w:bottom w:val="single" w:sz="4" w:space="0" w:color="auto"/>
            </w:tcBorders>
            <w:vAlign w:val="center"/>
          </w:tcPr>
          <w:p w14:paraId="2C355354"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56</w:t>
            </w:r>
          </w:p>
        </w:tc>
        <w:tc>
          <w:tcPr>
            <w:tcW w:w="643" w:type="pct"/>
            <w:tcBorders>
              <w:top w:val="single" w:sz="4" w:space="0" w:color="auto"/>
              <w:bottom w:val="single" w:sz="4" w:space="0" w:color="auto"/>
            </w:tcBorders>
            <w:vAlign w:val="center"/>
          </w:tcPr>
          <w:p w14:paraId="14CA86CC"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225</w:t>
            </w:r>
          </w:p>
        </w:tc>
      </w:tr>
      <w:tr w:rsidR="00EA313E" w:rsidRPr="00B67CC0" w14:paraId="7251BF0A" w14:textId="77777777" w:rsidTr="00F42F0F">
        <w:tc>
          <w:tcPr>
            <w:tcW w:w="1137" w:type="pct"/>
            <w:tcBorders>
              <w:top w:val="single" w:sz="4" w:space="0" w:color="auto"/>
              <w:bottom w:val="single" w:sz="4" w:space="0" w:color="auto"/>
            </w:tcBorders>
            <w:shd w:val="clear" w:color="auto" w:fill="auto"/>
            <w:noWrap/>
            <w:vAlign w:val="bottom"/>
          </w:tcPr>
          <w:p w14:paraId="3BBF287D" w14:textId="77777777" w:rsidR="00EA313E" w:rsidRPr="00B67CC0" w:rsidRDefault="00EA313E" w:rsidP="00F42F0F">
            <w:pPr>
              <w:widowControl/>
              <w:autoSpaceDE/>
              <w:autoSpaceDN/>
              <w:rPr>
                <w:rFonts w:asciiTheme="majorBidi" w:hAnsiTheme="majorBidi" w:cstheme="majorBidi"/>
                <w:color w:val="000000"/>
                <w14:ligatures w14:val="none"/>
              </w:rPr>
            </w:pPr>
            <w:r>
              <w:rPr>
                <w:rFonts w:asciiTheme="majorBidi" w:hAnsiTheme="majorBidi" w:cstheme="majorBidi"/>
                <w:color w:val="000000"/>
                <w14:ligatures w14:val="none"/>
              </w:rPr>
              <w:t>2022</w:t>
            </w:r>
          </w:p>
        </w:tc>
        <w:tc>
          <w:tcPr>
            <w:tcW w:w="643" w:type="pct"/>
            <w:tcBorders>
              <w:top w:val="single" w:sz="4" w:space="0" w:color="auto"/>
              <w:bottom w:val="single" w:sz="4" w:space="0" w:color="auto"/>
            </w:tcBorders>
            <w:shd w:val="clear" w:color="auto" w:fill="auto"/>
            <w:noWrap/>
            <w:vAlign w:val="center"/>
          </w:tcPr>
          <w:p w14:paraId="2F810B91"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296</w:t>
            </w:r>
          </w:p>
        </w:tc>
        <w:tc>
          <w:tcPr>
            <w:tcW w:w="644" w:type="pct"/>
            <w:tcBorders>
              <w:top w:val="single" w:sz="4" w:space="0" w:color="auto"/>
              <w:bottom w:val="single" w:sz="4" w:space="0" w:color="auto"/>
            </w:tcBorders>
            <w:shd w:val="clear" w:color="auto" w:fill="auto"/>
            <w:noWrap/>
            <w:vAlign w:val="center"/>
          </w:tcPr>
          <w:p w14:paraId="04A59072"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92</w:t>
            </w:r>
          </w:p>
        </w:tc>
        <w:tc>
          <w:tcPr>
            <w:tcW w:w="644" w:type="pct"/>
            <w:tcBorders>
              <w:top w:val="single" w:sz="4" w:space="0" w:color="auto"/>
              <w:bottom w:val="single" w:sz="4" w:space="0" w:color="auto"/>
            </w:tcBorders>
            <w:shd w:val="clear" w:color="auto" w:fill="auto"/>
            <w:noWrap/>
            <w:vAlign w:val="center"/>
          </w:tcPr>
          <w:p w14:paraId="5EA325ED"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FB311D">
              <w:rPr>
                <w:rFonts w:asciiTheme="majorBidi" w:hAnsiTheme="majorBidi" w:cstheme="majorBidi"/>
                <w:color w:val="000000"/>
                <w14:ligatures w14:val="none"/>
              </w:rPr>
              <w:t>204</w:t>
            </w:r>
          </w:p>
        </w:tc>
        <w:tc>
          <w:tcPr>
            <w:tcW w:w="644" w:type="pct"/>
            <w:tcBorders>
              <w:top w:val="single" w:sz="4" w:space="0" w:color="auto"/>
              <w:bottom w:val="single" w:sz="4" w:space="0" w:color="auto"/>
            </w:tcBorders>
            <w:vAlign w:val="center"/>
          </w:tcPr>
          <w:p w14:paraId="33F2DE00"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123</w:t>
            </w:r>
          </w:p>
        </w:tc>
        <w:tc>
          <w:tcPr>
            <w:tcW w:w="644" w:type="pct"/>
            <w:tcBorders>
              <w:top w:val="single" w:sz="4" w:space="0" w:color="auto"/>
              <w:bottom w:val="single" w:sz="4" w:space="0" w:color="auto"/>
            </w:tcBorders>
            <w:vAlign w:val="center"/>
          </w:tcPr>
          <w:p w14:paraId="073B64DE"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36</w:t>
            </w:r>
          </w:p>
        </w:tc>
        <w:tc>
          <w:tcPr>
            <w:tcW w:w="643" w:type="pct"/>
            <w:tcBorders>
              <w:top w:val="single" w:sz="4" w:space="0" w:color="auto"/>
              <w:bottom w:val="single" w:sz="4" w:space="0" w:color="auto"/>
            </w:tcBorders>
            <w:vAlign w:val="center"/>
          </w:tcPr>
          <w:p w14:paraId="0C995B57" w14:textId="77777777" w:rsidR="00EA313E" w:rsidRPr="00FB311D" w:rsidRDefault="00EA313E" w:rsidP="00F42F0F">
            <w:pPr>
              <w:widowControl/>
              <w:autoSpaceDE/>
              <w:autoSpaceDN/>
              <w:ind w:left="-75" w:right="245"/>
              <w:jc w:val="right"/>
              <w:rPr>
                <w:rFonts w:asciiTheme="majorBidi" w:hAnsiTheme="majorBidi" w:cstheme="majorBidi"/>
                <w:color w:val="000000"/>
                <w14:ligatures w14:val="none"/>
              </w:rPr>
            </w:pPr>
            <w:r w:rsidRPr="00231794">
              <w:rPr>
                <w:rFonts w:asciiTheme="majorBidi" w:hAnsiTheme="majorBidi" w:cstheme="majorBidi"/>
                <w:color w:val="000000"/>
                <w14:ligatures w14:val="none"/>
              </w:rPr>
              <w:t>87</w:t>
            </w:r>
          </w:p>
        </w:tc>
      </w:tr>
      <w:tr w:rsidR="00EA313E" w:rsidRPr="008A5C75" w14:paraId="4A22F503" w14:textId="77777777" w:rsidTr="00F42F0F">
        <w:tc>
          <w:tcPr>
            <w:tcW w:w="1137" w:type="pct"/>
            <w:tcBorders>
              <w:top w:val="single" w:sz="4" w:space="0" w:color="auto"/>
              <w:bottom w:val="double" w:sz="4" w:space="0" w:color="auto"/>
            </w:tcBorders>
            <w:shd w:val="clear" w:color="auto" w:fill="auto"/>
            <w:noWrap/>
            <w:vAlign w:val="bottom"/>
            <w:hideMark/>
          </w:tcPr>
          <w:p w14:paraId="451AE9CE" w14:textId="77777777" w:rsidR="00EA313E" w:rsidRPr="008A5C75" w:rsidRDefault="00EA313E" w:rsidP="00F42F0F">
            <w:pPr>
              <w:widowControl/>
              <w:autoSpaceDE/>
              <w:autoSpaceDN/>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Total</w:t>
            </w:r>
          </w:p>
        </w:tc>
        <w:tc>
          <w:tcPr>
            <w:tcW w:w="643" w:type="pct"/>
            <w:tcBorders>
              <w:top w:val="single" w:sz="4" w:space="0" w:color="auto"/>
              <w:bottom w:val="double" w:sz="4" w:space="0" w:color="auto"/>
            </w:tcBorders>
            <w:shd w:val="clear" w:color="auto" w:fill="auto"/>
            <w:noWrap/>
            <w:vAlign w:val="center"/>
            <w:hideMark/>
          </w:tcPr>
          <w:p w14:paraId="34885163"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8,453</w:t>
            </w:r>
          </w:p>
        </w:tc>
        <w:tc>
          <w:tcPr>
            <w:tcW w:w="644" w:type="pct"/>
            <w:tcBorders>
              <w:top w:val="single" w:sz="4" w:space="0" w:color="auto"/>
              <w:bottom w:val="double" w:sz="4" w:space="0" w:color="auto"/>
            </w:tcBorders>
            <w:shd w:val="clear" w:color="auto" w:fill="auto"/>
            <w:noWrap/>
            <w:vAlign w:val="center"/>
            <w:hideMark/>
          </w:tcPr>
          <w:p w14:paraId="6CA71CBA"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1,483</w:t>
            </w:r>
          </w:p>
        </w:tc>
        <w:tc>
          <w:tcPr>
            <w:tcW w:w="644" w:type="pct"/>
            <w:tcBorders>
              <w:top w:val="single" w:sz="4" w:space="0" w:color="auto"/>
              <w:bottom w:val="double" w:sz="4" w:space="0" w:color="auto"/>
            </w:tcBorders>
            <w:shd w:val="clear" w:color="auto" w:fill="auto"/>
            <w:noWrap/>
            <w:vAlign w:val="center"/>
            <w:hideMark/>
          </w:tcPr>
          <w:p w14:paraId="6205FCA3"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6,970</w:t>
            </w:r>
          </w:p>
        </w:tc>
        <w:tc>
          <w:tcPr>
            <w:tcW w:w="644" w:type="pct"/>
            <w:tcBorders>
              <w:top w:val="single" w:sz="4" w:space="0" w:color="auto"/>
              <w:bottom w:val="double" w:sz="4" w:space="0" w:color="auto"/>
            </w:tcBorders>
            <w:vAlign w:val="center"/>
          </w:tcPr>
          <w:p w14:paraId="1AB9D6CE"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4</w:t>
            </w:r>
            <w:r>
              <w:rPr>
                <w:rFonts w:asciiTheme="majorBidi" w:hAnsiTheme="majorBidi" w:cstheme="majorBidi"/>
                <w:b/>
                <w:bCs/>
                <w:color w:val="000000"/>
                <w14:ligatures w14:val="none"/>
              </w:rPr>
              <w:t>,</w:t>
            </w:r>
            <w:r w:rsidRPr="008A5C75">
              <w:rPr>
                <w:rFonts w:asciiTheme="majorBidi" w:hAnsiTheme="majorBidi" w:cstheme="majorBidi"/>
                <w:b/>
                <w:bCs/>
                <w:color w:val="000000"/>
                <w14:ligatures w14:val="none"/>
              </w:rPr>
              <w:t>258</w:t>
            </w:r>
          </w:p>
        </w:tc>
        <w:tc>
          <w:tcPr>
            <w:tcW w:w="644" w:type="pct"/>
            <w:tcBorders>
              <w:top w:val="single" w:sz="4" w:space="0" w:color="auto"/>
              <w:bottom w:val="double" w:sz="4" w:space="0" w:color="auto"/>
            </w:tcBorders>
            <w:vAlign w:val="center"/>
          </w:tcPr>
          <w:p w14:paraId="66724B4A"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1</w:t>
            </w:r>
            <w:r>
              <w:rPr>
                <w:rFonts w:asciiTheme="majorBidi" w:hAnsiTheme="majorBidi" w:cstheme="majorBidi"/>
                <w:b/>
                <w:bCs/>
                <w:color w:val="000000"/>
                <w14:ligatures w14:val="none"/>
              </w:rPr>
              <w:t>,</w:t>
            </w:r>
            <w:r w:rsidRPr="008A5C75">
              <w:rPr>
                <w:rFonts w:asciiTheme="majorBidi" w:hAnsiTheme="majorBidi" w:cstheme="majorBidi"/>
                <w:b/>
                <w:bCs/>
                <w:color w:val="000000"/>
                <w14:ligatures w14:val="none"/>
              </w:rPr>
              <w:t>065</w:t>
            </w:r>
          </w:p>
        </w:tc>
        <w:tc>
          <w:tcPr>
            <w:tcW w:w="643" w:type="pct"/>
            <w:tcBorders>
              <w:top w:val="single" w:sz="4" w:space="0" w:color="auto"/>
              <w:bottom w:val="double" w:sz="4" w:space="0" w:color="auto"/>
            </w:tcBorders>
            <w:vAlign w:val="center"/>
          </w:tcPr>
          <w:p w14:paraId="49BF4766"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3</w:t>
            </w:r>
            <w:r>
              <w:rPr>
                <w:rFonts w:asciiTheme="majorBidi" w:hAnsiTheme="majorBidi" w:cstheme="majorBidi"/>
                <w:b/>
                <w:bCs/>
                <w:color w:val="000000"/>
                <w14:ligatures w14:val="none"/>
              </w:rPr>
              <w:t>,</w:t>
            </w:r>
            <w:r w:rsidRPr="008A5C75">
              <w:rPr>
                <w:rFonts w:asciiTheme="majorBidi" w:hAnsiTheme="majorBidi" w:cstheme="majorBidi"/>
                <w:b/>
                <w:bCs/>
                <w:color w:val="000000"/>
                <w14:ligatures w14:val="none"/>
              </w:rPr>
              <w:t>193</w:t>
            </w:r>
          </w:p>
        </w:tc>
      </w:tr>
      <w:tr w:rsidR="00EA313E" w:rsidRPr="00B67CC0" w14:paraId="00D1E03E" w14:textId="77777777" w:rsidTr="00F42F0F">
        <w:tc>
          <w:tcPr>
            <w:tcW w:w="1137" w:type="pct"/>
            <w:tcBorders>
              <w:top w:val="double" w:sz="4" w:space="0" w:color="auto"/>
              <w:bottom w:val="single" w:sz="4" w:space="0" w:color="auto"/>
            </w:tcBorders>
            <w:shd w:val="clear" w:color="auto" w:fill="auto"/>
            <w:noWrap/>
            <w:vAlign w:val="bottom"/>
          </w:tcPr>
          <w:p w14:paraId="3A1E4F94" w14:textId="77777777" w:rsidR="00EA313E" w:rsidRPr="00B67CC0" w:rsidRDefault="00EA313E" w:rsidP="00F42F0F">
            <w:pPr>
              <w:pStyle w:val="paragraph"/>
              <w:spacing w:before="0" w:beforeAutospacing="0" w:after="0" w:afterAutospacing="0"/>
              <w:textAlignment w:val="baseline"/>
              <w:rPr>
                <w:rFonts w:asciiTheme="majorBidi" w:hAnsiTheme="majorBidi" w:cstheme="majorBidi"/>
                <w:color w:val="000000"/>
              </w:rPr>
            </w:pPr>
            <w:r w:rsidRPr="00B67CC0">
              <w:rPr>
                <w:rFonts w:asciiTheme="majorBidi" w:eastAsiaTheme="minorHAnsi" w:hAnsiTheme="majorBidi" w:cstheme="majorBidi"/>
                <w:b/>
                <w:bCs/>
                <w:color w:val="000000"/>
                <w:shd w:val="clear" w:color="auto" w:fill="FFFFFF"/>
              </w:rPr>
              <w:t xml:space="preserve">Panel </w:t>
            </w:r>
            <w:r>
              <w:rPr>
                <w:rFonts w:asciiTheme="majorBidi" w:eastAsiaTheme="minorHAnsi" w:hAnsiTheme="majorBidi" w:cstheme="majorBidi"/>
                <w:b/>
                <w:bCs/>
                <w:color w:val="000000"/>
                <w:shd w:val="clear" w:color="auto" w:fill="FFFFFF"/>
              </w:rPr>
              <w:t>B</w:t>
            </w:r>
          </w:p>
        </w:tc>
        <w:tc>
          <w:tcPr>
            <w:tcW w:w="643" w:type="pct"/>
            <w:tcBorders>
              <w:top w:val="double" w:sz="4" w:space="0" w:color="auto"/>
              <w:bottom w:val="single" w:sz="4" w:space="0" w:color="auto"/>
            </w:tcBorders>
            <w:shd w:val="clear" w:color="auto" w:fill="auto"/>
            <w:noWrap/>
            <w:vAlign w:val="bottom"/>
          </w:tcPr>
          <w:p w14:paraId="37DFB24A" w14:textId="77777777" w:rsidR="00EA313E" w:rsidRPr="00BD60A1" w:rsidRDefault="00EA313E" w:rsidP="00F42F0F">
            <w:pPr>
              <w:widowControl/>
              <w:tabs>
                <w:tab w:val="decimal" w:pos="510"/>
                <w:tab w:val="decimal" w:pos="870"/>
              </w:tabs>
              <w:autoSpaceDE/>
              <w:autoSpaceDN/>
              <w:ind w:left="960"/>
              <w:rPr>
                <w:rFonts w:asciiTheme="majorBidi" w:hAnsiTheme="majorBidi" w:cstheme="majorBidi"/>
                <w:color w:val="000000"/>
                <w14:ligatures w14:val="none"/>
              </w:rPr>
            </w:pPr>
          </w:p>
        </w:tc>
        <w:tc>
          <w:tcPr>
            <w:tcW w:w="644" w:type="pct"/>
            <w:tcBorders>
              <w:top w:val="double" w:sz="4" w:space="0" w:color="auto"/>
              <w:bottom w:val="single" w:sz="4" w:space="0" w:color="auto"/>
            </w:tcBorders>
            <w:shd w:val="clear" w:color="auto" w:fill="auto"/>
            <w:noWrap/>
            <w:vAlign w:val="bottom"/>
          </w:tcPr>
          <w:p w14:paraId="1BC78C57" w14:textId="77777777" w:rsidR="00EA313E" w:rsidRPr="00BD60A1" w:rsidRDefault="00EA313E" w:rsidP="00F42F0F">
            <w:pPr>
              <w:widowControl/>
              <w:tabs>
                <w:tab w:val="decimal" w:pos="510"/>
                <w:tab w:val="decimal" w:pos="870"/>
              </w:tabs>
              <w:autoSpaceDE/>
              <w:autoSpaceDN/>
              <w:ind w:left="960"/>
              <w:rPr>
                <w:rFonts w:asciiTheme="majorBidi" w:hAnsiTheme="majorBidi" w:cstheme="majorBidi"/>
                <w:color w:val="000000"/>
                <w14:ligatures w14:val="none"/>
              </w:rPr>
            </w:pPr>
          </w:p>
        </w:tc>
        <w:tc>
          <w:tcPr>
            <w:tcW w:w="644" w:type="pct"/>
            <w:tcBorders>
              <w:top w:val="double" w:sz="4" w:space="0" w:color="auto"/>
              <w:bottom w:val="single" w:sz="4" w:space="0" w:color="auto"/>
            </w:tcBorders>
            <w:shd w:val="clear" w:color="auto" w:fill="auto"/>
            <w:noWrap/>
            <w:vAlign w:val="bottom"/>
          </w:tcPr>
          <w:p w14:paraId="515F95B5" w14:textId="77777777" w:rsidR="00EA313E" w:rsidRPr="00BD60A1" w:rsidRDefault="00EA313E" w:rsidP="00F42F0F">
            <w:pPr>
              <w:widowControl/>
              <w:tabs>
                <w:tab w:val="decimal" w:pos="510"/>
                <w:tab w:val="decimal" w:pos="870"/>
              </w:tabs>
              <w:autoSpaceDE/>
              <w:autoSpaceDN/>
              <w:ind w:left="960"/>
              <w:rPr>
                <w:rFonts w:asciiTheme="majorBidi" w:hAnsiTheme="majorBidi" w:cstheme="majorBidi"/>
                <w:color w:val="000000"/>
                <w14:ligatures w14:val="none"/>
              </w:rPr>
            </w:pPr>
          </w:p>
        </w:tc>
        <w:tc>
          <w:tcPr>
            <w:tcW w:w="644" w:type="pct"/>
            <w:tcBorders>
              <w:top w:val="double" w:sz="4" w:space="0" w:color="auto"/>
              <w:bottom w:val="single" w:sz="4" w:space="0" w:color="auto"/>
            </w:tcBorders>
          </w:tcPr>
          <w:p w14:paraId="5AFF321E" w14:textId="77777777" w:rsidR="00EA313E" w:rsidRPr="00BD60A1" w:rsidRDefault="00EA313E" w:rsidP="00F42F0F">
            <w:pPr>
              <w:widowControl/>
              <w:tabs>
                <w:tab w:val="decimal" w:pos="510"/>
                <w:tab w:val="decimal" w:pos="870"/>
              </w:tabs>
              <w:autoSpaceDE/>
              <w:autoSpaceDN/>
              <w:ind w:left="960"/>
              <w:rPr>
                <w:rFonts w:asciiTheme="majorBidi" w:hAnsiTheme="majorBidi" w:cstheme="majorBidi"/>
                <w:color w:val="000000"/>
                <w14:ligatures w14:val="none"/>
              </w:rPr>
            </w:pPr>
          </w:p>
        </w:tc>
        <w:tc>
          <w:tcPr>
            <w:tcW w:w="644" w:type="pct"/>
            <w:tcBorders>
              <w:top w:val="double" w:sz="4" w:space="0" w:color="auto"/>
              <w:bottom w:val="single" w:sz="4" w:space="0" w:color="auto"/>
            </w:tcBorders>
          </w:tcPr>
          <w:p w14:paraId="0B32A249" w14:textId="77777777" w:rsidR="00EA313E" w:rsidRPr="00BD60A1" w:rsidRDefault="00EA313E" w:rsidP="00F42F0F">
            <w:pPr>
              <w:widowControl/>
              <w:tabs>
                <w:tab w:val="decimal" w:pos="510"/>
                <w:tab w:val="decimal" w:pos="870"/>
              </w:tabs>
              <w:autoSpaceDE/>
              <w:autoSpaceDN/>
              <w:ind w:left="960"/>
              <w:rPr>
                <w:rFonts w:asciiTheme="majorBidi" w:hAnsiTheme="majorBidi" w:cstheme="majorBidi"/>
                <w:color w:val="000000"/>
                <w14:ligatures w14:val="none"/>
              </w:rPr>
            </w:pPr>
          </w:p>
        </w:tc>
        <w:tc>
          <w:tcPr>
            <w:tcW w:w="643" w:type="pct"/>
            <w:tcBorders>
              <w:top w:val="double" w:sz="4" w:space="0" w:color="auto"/>
              <w:bottom w:val="single" w:sz="4" w:space="0" w:color="auto"/>
            </w:tcBorders>
          </w:tcPr>
          <w:p w14:paraId="308887E3" w14:textId="77777777" w:rsidR="00EA313E" w:rsidRPr="00BD60A1" w:rsidRDefault="00EA313E" w:rsidP="00F42F0F">
            <w:pPr>
              <w:widowControl/>
              <w:tabs>
                <w:tab w:val="decimal" w:pos="510"/>
                <w:tab w:val="decimal" w:pos="870"/>
              </w:tabs>
              <w:autoSpaceDE/>
              <w:autoSpaceDN/>
              <w:ind w:left="960"/>
              <w:rPr>
                <w:rFonts w:asciiTheme="majorBidi" w:hAnsiTheme="majorBidi" w:cstheme="majorBidi"/>
                <w:color w:val="000000"/>
                <w14:ligatures w14:val="none"/>
              </w:rPr>
            </w:pPr>
          </w:p>
        </w:tc>
      </w:tr>
      <w:tr w:rsidR="00EA313E" w:rsidRPr="00B67CC0" w14:paraId="0C601223" w14:textId="77777777" w:rsidTr="00F42F0F">
        <w:tc>
          <w:tcPr>
            <w:tcW w:w="1137" w:type="pct"/>
            <w:tcBorders>
              <w:top w:val="double" w:sz="4" w:space="0" w:color="auto"/>
              <w:bottom w:val="single" w:sz="4" w:space="0" w:color="auto"/>
            </w:tcBorders>
            <w:shd w:val="clear" w:color="auto" w:fill="auto"/>
            <w:noWrap/>
            <w:vAlign w:val="bottom"/>
            <w:hideMark/>
          </w:tcPr>
          <w:p w14:paraId="0E9456A9"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Construction/Mining</w:t>
            </w:r>
          </w:p>
        </w:tc>
        <w:tc>
          <w:tcPr>
            <w:tcW w:w="643" w:type="pct"/>
            <w:tcBorders>
              <w:top w:val="double" w:sz="4" w:space="0" w:color="auto"/>
              <w:bottom w:val="single" w:sz="4" w:space="0" w:color="auto"/>
            </w:tcBorders>
            <w:shd w:val="clear" w:color="auto" w:fill="auto"/>
            <w:noWrap/>
            <w:vAlign w:val="bottom"/>
            <w:hideMark/>
          </w:tcPr>
          <w:p w14:paraId="6BCD4458"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826</w:t>
            </w:r>
          </w:p>
        </w:tc>
        <w:tc>
          <w:tcPr>
            <w:tcW w:w="644" w:type="pct"/>
            <w:tcBorders>
              <w:top w:val="double" w:sz="4" w:space="0" w:color="auto"/>
              <w:bottom w:val="single" w:sz="4" w:space="0" w:color="auto"/>
            </w:tcBorders>
            <w:shd w:val="clear" w:color="auto" w:fill="auto"/>
            <w:noWrap/>
            <w:vAlign w:val="bottom"/>
            <w:hideMark/>
          </w:tcPr>
          <w:p w14:paraId="3CC3DD17"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272</w:t>
            </w:r>
          </w:p>
        </w:tc>
        <w:tc>
          <w:tcPr>
            <w:tcW w:w="644" w:type="pct"/>
            <w:tcBorders>
              <w:top w:val="double" w:sz="4" w:space="0" w:color="auto"/>
              <w:bottom w:val="single" w:sz="4" w:space="0" w:color="auto"/>
            </w:tcBorders>
            <w:shd w:val="clear" w:color="auto" w:fill="auto"/>
            <w:noWrap/>
            <w:vAlign w:val="bottom"/>
            <w:hideMark/>
          </w:tcPr>
          <w:p w14:paraId="410599FD"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554</w:t>
            </w:r>
          </w:p>
        </w:tc>
        <w:tc>
          <w:tcPr>
            <w:tcW w:w="644" w:type="pct"/>
            <w:tcBorders>
              <w:top w:val="double" w:sz="4" w:space="0" w:color="auto"/>
              <w:bottom w:val="single" w:sz="4" w:space="0" w:color="auto"/>
            </w:tcBorders>
            <w:vAlign w:val="bottom"/>
          </w:tcPr>
          <w:p w14:paraId="0EF16890"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540</w:t>
            </w:r>
          </w:p>
        </w:tc>
        <w:tc>
          <w:tcPr>
            <w:tcW w:w="644" w:type="pct"/>
            <w:tcBorders>
              <w:top w:val="double" w:sz="4" w:space="0" w:color="auto"/>
              <w:bottom w:val="single" w:sz="4" w:space="0" w:color="auto"/>
            </w:tcBorders>
            <w:vAlign w:val="bottom"/>
          </w:tcPr>
          <w:p w14:paraId="5E451422"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216</w:t>
            </w:r>
          </w:p>
        </w:tc>
        <w:tc>
          <w:tcPr>
            <w:tcW w:w="643" w:type="pct"/>
            <w:tcBorders>
              <w:top w:val="double" w:sz="4" w:space="0" w:color="auto"/>
              <w:bottom w:val="single" w:sz="4" w:space="0" w:color="auto"/>
            </w:tcBorders>
            <w:vAlign w:val="bottom"/>
          </w:tcPr>
          <w:p w14:paraId="1B22428E"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324</w:t>
            </w:r>
          </w:p>
        </w:tc>
      </w:tr>
      <w:tr w:rsidR="00EA313E" w:rsidRPr="00B67CC0" w14:paraId="3C85AD0B" w14:textId="77777777" w:rsidTr="00F42F0F">
        <w:tc>
          <w:tcPr>
            <w:tcW w:w="1137" w:type="pct"/>
            <w:tcBorders>
              <w:top w:val="single" w:sz="4" w:space="0" w:color="auto"/>
              <w:bottom w:val="single" w:sz="4" w:space="0" w:color="auto"/>
            </w:tcBorders>
            <w:shd w:val="clear" w:color="auto" w:fill="auto"/>
            <w:noWrap/>
            <w:vAlign w:val="bottom"/>
            <w:hideMark/>
          </w:tcPr>
          <w:p w14:paraId="5CA4864E"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Manufacturing</w:t>
            </w:r>
          </w:p>
        </w:tc>
        <w:tc>
          <w:tcPr>
            <w:tcW w:w="643" w:type="pct"/>
            <w:tcBorders>
              <w:top w:val="single" w:sz="4" w:space="0" w:color="auto"/>
              <w:bottom w:val="single" w:sz="4" w:space="0" w:color="auto"/>
            </w:tcBorders>
            <w:shd w:val="clear" w:color="auto" w:fill="auto"/>
            <w:noWrap/>
            <w:vAlign w:val="bottom"/>
            <w:hideMark/>
          </w:tcPr>
          <w:p w14:paraId="2EC14404"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4,075</w:t>
            </w:r>
          </w:p>
        </w:tc>
        <w:tc>
          <w:tcPr>
            <w:tcW w:w="644" w:type="pct"/>
            <w:tcBorders>
              <w:top w:val="single" w:sz="4" w:space="0" w:color="auto"/>
              <w:bottom w:val="single" w:sz="4" w:space="0" w:color="auto"/>
            </w:tcBorders>
            <w:shd w:val="clear" w:color="auto" w:fill="auto"/>
            <w:noWrap/>
            <w:vAlign w:val="bottom"/>
            <w:hideMark/>
          </w:tcPr>
          <w:p w14:paraId="475B1396"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501</w:t>
            </w:r>
          </w:p>
        </w:tc>
        <w:tc>
          <w:tcPr>
            <w:tcW w:w="644" w:type="pct"/>
            <w:tcBorders>
              <w:top w:val="single" w:sz="4" w:space="0" w:color="auto"/>
              <w:bottom w:val="single" w:sz="4" w:space="0" w:color="auto"/>
            </w:tcBorders>
            <w:shd w:val="clear" w:color="auto" w:fill="auto"/>
            <w:noWrap/>
            <w:vAlign w:val="bottom"/>
            <w:hideMark/>
          </w:tcPr>
          <w:p w14:paraId="0C0B3BEF"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3,574</w:t>
            </w:r>
          </w:p>
        </w:tc>
        <w:tc>
          <w:tcPr>
            <w:tcW w:w="644" w:type="pct"/>
            <w:tcBorders>
              <w:top w:val="single" w:sz="4" w:space="0" w:color="auto"/>
              <w:bottom w:val="single" w:sz="4" w:space="0" w:color="auto"/>
            </w:tcBorders>
            <w:vAlign w:val="bottom"/>
          </w:tcPr>
          <w:p w14:paraId="2606FC85"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1,980</w:t>
            </w:r>
          </w:p>
        </w:tc>
        <w:tc>
          <w:tcPr>
            <w:tcW w:w="644" w:type="pct"/>
            <w:tcBorders>
              <w:top w:val="single" w:sz="4" w:space="0" w:color="auto"/>
              <w:bottom w:val="single" w:sz="4" w:space="0" w:color="auto"/>
            </w:tcBorders>
            <w:vAlign w:val="bottom"/>
          </w:tcPr>
          <w:p w14:paraId="751232BC"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353</w:t>
            </w:r>
          </w:p>
        </w:tc>
        <w:tc>
          <w:tcPr>
            <w:tcW w:w="643" w:type="pct"/>
            <w:tcBorders>
              <w:top w:val="single" w:sz="4" w:space="0" w:color="auto"/>
              <w:bottom w:val="single" w:sz="4" w:space="0" w:color="auto"/>
            </w:tcBorders>
            <w:vAlign w:val="bottom"/>
          </w:tcPr>
          <w:p w14:paraId="56314DE2"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1,627</w:t>
            </w:r>
          </w:p>
        </w:tc>
      </w:tr>
      <w:tr w:rsidR="00EA313E" w:rsidRPr="00B67CC0" w14:paraId="53BAF969" w14:textId="77777777" w:rsidTr="00F42F0F">
        <w:tc>
          <w:tcPr>
            <w:tcW w:w="1137" w:type="pct"/>
            <w:tcBorders>
              <w:top w:val="single" w:sz="4" w:space="0" w:color="auto"/>
              <w:bottom w:val="single" w:sz="4" w:space="0" w:color="auto"/>
            </w:tcBorders>
            <w:shd w:val="clear" w:color="auto" w:fill="auto"/>
            <w:noWrap/>
            <w:vAlign w:val="bottom"/>
            <w:hideMark/>
          </w:tcPr>
          <w:p w14:paraId="6F4C65F2"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Transportation</w:t>
            </w:r>
          </w:p>
        </w:tc>
        <w:tc>
          <w:tcPr>
            <w:tcW w:w="643" w:type="pct"/>
            <w:tcBorders>
              <w:top w:val="single" w:sz="4" w:space="0" w:color="auto"/>
              <w:bottom w:val="single" w:sz="4" w:space="0" w:color="auto"/>
            </w:tcBorders>
            <w:shd w:val="clear" w:color="auto" w:fill="auto"/>
            <w:noWrap/>
            <w:vAlign w:val="bottom"/>
            <w:hideMark/>
          </w:tcPr>
          <w:p w14:paraId="60EFE4C8"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1,227</w:t>
            </w:r>
          </w:p>
        </w:tc>
        <w:tc>
          <w:tcPr>
            <w:tcW w:w="644" w:type="pct"/>
            <w:tcBorders>
              <w:top w:val="single" w:sz="4" w:space="0" w:color="auto"/>
              <w:bottom w:val="single" w:sz="4" w:space="0" w:color="auto"/>
            </w:tcBorders>
            <w:shd w:val="clear" w:color="auto" w:fill="auto"/>
            <w:noWrap/>
            <w:vAlign w:val="bottom"/>
            <w:hideMark/>
          </w:tcPr>
          <w:p w14:paraId="6E28ADD6"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263</w:t>
            </w:r>
          </w:p>
        </w:tc>
        <w:tc>
          <w:tcPr>
            <w:tcW w:w="644" w:type="pct"/>
            <w:tcBorders>
              <w:top w:val="single" w:sz="4" w:space="0" w:color="auto"/>
              <w:bottom w:val="single" w:sz="4" w:space="0" w:color="auto"/>
            </w:tcBorders>
            <w:shd w:val="clear" w:color="auto" w:fill="auto"/>
            <w:noWrap/>
            <w:vAlign w:val="bottom"/>
            <w:hideMark/>
          </w:tcPr>
          <w:p w14:paraId="29A1DB23"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964</w:t>
            </w:r>
          </w:p>
        </w:tc>
        <w:tc>
          <w:tcPr>
            <w:tcW w:w="644" w:type="pct"/>
            <w:tcBorders>
              <w:top w:val="single" w:sz="4" w:space="0" w:color="auto"/>
              <w:bottom w:val="single" w:sz="4" w:space="0" w:color="auto"/>
            </w:tcBorders>
            <w:vAlign w:val="bottom"/>
          </w:tcPr>
          <w:p w14:paraId="416092E0"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515</w:t>
            </w:r>
          </w:p>
        </w:tc>
        <w:tc>
          <w:tcPr>
            <w:tcW w:w="644" w:type="pct"/>
            <w:tcBorders>
              <w:top w:val="single" w:sz="4" w:space="0" w:color="auto"/>
              <w:bottom w:val="single" w:sz="4" w:space="0" w:color="auto"/>
            </w:tcBorders>
            <w:vAlign w:val="bottom"/>
          </w:tcPr>
          <w:p w14:paraId="30EF67F4"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176</w:t>
            </w:r>
          </w:p>
        </w:tc>
        <w:tc>
          <w:tcPr>
            <w:tcW w:w="643" w:type="pct"/>
            <w:tcBorders>
              <w:top w:val="single" w:sz="4" w:space="0" w:color="auto"/>
              <w:bottom w:val="single" w:sz="4" w:space="0" w:color="auto"/>
            </w:tcBorders>
            <w:vAlign w:val="bottom"/>
          </w:tcPr>
          <w:p w14:paraId="6B73C78A"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339</w:t>
            </w:r>
          </w:p>
        </w:tc>
      </w:tr>
      <w:tr w:rsidR="00EA313E" w:rsidRPr="00B67CC0" w14:paraId="0A450950" w14:textId="77777777" w:rsidTr="00F42F0F">
        <w:tc>
          <w:tcPr>
            <w:tcW w:w="1137" w:type="pct"/>
            <w:tcBorders>
              <w:top w:val="single" w:sz="4" w:space="0" w:color="auto"/>
              <w:bottom w:val="single" w:sz="4" w:space="0" w:color="auto"/>
            </w:tcBorders>
            <w:shd w:val="clear" w:color="auto" w:fill="auto"/>
            <w:noWrap/>
            <w:vAlign w:val="bottom"/>
            <w:hideMark/>
          </w:tcPr>
          <w:p w14:paraId="46FF09C9"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Wholesale /Retail Trade</w:t>
            </w:r>
          </w:p>
        </w:tc>
        <w:tc>
          <w:tcPr>
            <w:tcW w:w="643" w:type="pct"/>
            <w:tcBorders>
              <w:top w:val="single" w:sz="4" w:space="0" w:color="auto"/>
              <w:bottom w:val="single" w:sz="4" w:space="0" w:color="auto"/>
            </w:tcBorders>
            <w:shd w:val="clear" w:color="auto" w:fill="auto"/>
            <w:noWrap/>
            <w:vAlign w:val="bottom"/>
            <w:hideMark/>
          </w:tcPr>
          <w:p w14:paraId="4127394A"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1,012</w:t>
            </w:r>
          </w:p>
        </w:tc>
        <w:tc>
          <w:tcPr>
            <w:tcW w:w="644" w:type="pct"/>
            <w:tcBorders>
              <w:top w:val="single" w:sz="4" w:space="0" w:color="auto"/>
              <w:bottom w:val="single" w:sz="4" w:space="0" w:color="auto"/>
            </w:tcBorders>
            <w:shd w:val="clear" w:color="auto" w:fill="auto"/>
            <w:noWrap/>
            <w:vAlign w:val="bottom"/>
            <w:hideMark/>
          </w:tcPr>
          <w:p w14:paraId="18CD9A7C"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160</w:t>
            </w:r>
          </w:p>
        </w:tc>
        <w:tc>
          <w:tcPr>
            <w:tcW w:w="644" w:type="pct"/>
            <w:tcBorders>
              <w:top w:val="single" w:sz="4" w:space="0" w:color="auto"/>
              <w:bottom w:val="single" w:sz="4" w:space="0" w:color="auto"/>
            </w:tcBorders>
            <w:shd w:val="clear" w:color="auto" w:fill="auto"/>
            <w:noWrap/>
            <w:vAlign w:val="bottom"/>
            <w:hideMark/>
          </w:tcPr>
          <w:p w14:paraId="22AC4F48"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852</w:t>
            </w:r>
          </w:p>
        </w:tc>
        <w:tc>
          <w:tcPr>
            <w:tcW w:w="644" w:type="pct"/>
            <w:tcBorders>
              <w:top w:val="single" w:sz="4" w:space="0" w:color="auto"/>
              <w:bottom w:val="single" w:sz="4" w:space="0" w:color="auto"/>
            </w:tcBorders>
            <w:vAlign w:val="bottom"/>
          </w:tcPr>
          <w:p w14:paraId="476A3487"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509</w:t>
            </w:r>
          </w:p>
        </w:tc>
        <w:tc>
          <w:tcPr>
            <w:tcW w:w="644" w:type="pct"/>
            <w:tcBorders>
              <w:top w:val="single" w:sz="4" w:space="0" w:color="auto"/>
              <w:bottom w:val="single" w:sz="4" w:space="0" w:color="auto"/>
            </w:tcBorders>
            <w:vAlign w:val="bottom"/>
          </w:tcPr>
          <w:p w14:paraId="506E01CC"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116</w:t>
            </w:r>
          </w:p>
        </w:tc>
        <w:tc>
          <w:tcPr>
            <w:tcW w:w="643" w:type="pct"/>
            <w:tcBorders>
              <w:top w:val="single" w:sz="4" w:space="0" w:color="auto"/>
              <w:bottom w:val="single" w:sz="4" w:space="0" w:color="auto"/>
            </w:tcBorders>
            <w:vAlign w:val="bottom"/>
          </w:tcPr>
          <w:p w14:paraId="2747D863"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393</w:t>
            </w:r>
          </w:p>
        </w:tc>
      </w:tr>
      <w:tr w:rsidR="00EA313E" w:rsidRPr="00B67CC0" w14:paraId="3851AF27" w14:textId="77777777" w:rsidTr="00F42F0F">
        <w:tc>
          <w:tcPr>
            <w:tcW w:w="1137" w:type="pct"/>
            <w:tcBorders>
              <w:top w:val="single" w:sz="4" w:space="0" w:color="auto"/>
              <w:bottom w:val="single" w:sz="4" w:space="0" w:color="auto"/>
            </w:tcBorders>
            <w:shd w:val="clear" w:color="auto" w:fill="auto"/>
            <w:noWrap/>
            <w:vAlign w:val="bottom"/>
            <w:hideMark/>
          </w:tcPr>
          <w:p w14:paraId="1582F025" w14:textId="77777777" w:rsidR="00EA313E" w:rsidRPr="00B67CC0" w:rsidRDefault="00EA313E" w:rsidP="00F42F0F">
            <w:pPr>
              <w:widowControl/>
              <w:autoSpaceDE/>
              <w:autoSpaceDN/>
              <w:rPr>
                <w:rFonts w:asciiTheme="majorBidi" w:hAnsiTheme="majorBidi" w:cstheme="majorBidi"/>
                <w:color w:val="000000"/>
                <w14:ligatures w14:val="none"/>
              </w:rPr>
            </w:pPr>
            <w:r w:rsidRPr="00B67CC0">
              <w:rPr>
                <w:rFonts w:asciiTheme="majorBidi" w:hAnsiTheme="majorBidi" w:cstheme="majorBidi"/>
                <w:color w:val="000000"/>
                <w14:ligatures w14:val="none"/>
              </w:rPr>
              <w:t>Services</w:t>
            </w:r>
          </w:p>
        </w:tc>
        <w:tc>
          <w:tcPr>
            <w:tcW w:w="643" w:type="pct"/>
            <w:tcBorders>
              <w:top w:val="single" w:sz="4" w:space="0" w:color="auto"/>
              <w:bottom w:val="single" w:sz="4" w:space="0" w:color="auto"/>
            </w:tcBorders>
            <w:shd w:val="clear" w:color="auto" w:fill="auto"/>
            <w:noWrap/>
            <w:vAlign w:val="bottom"/>
            <w:hideMark/>
          </w:tcPr>
          <w:p w14:paraId="5B438A1D"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1,313</w:t>
            </w:r>
          </w:p>
        </w:tc>
        <w:tc>
          <w:tcPr>
            <w:tcW w:w="644" w:type="pct"/>
            <w:tcBorders>
              <w:top w:val="single" w:sz="4" w:space="0" w:color="auto"/>
              <w:bottom w:val="single" w:sz="4" w:space="0" w:color="auto"/>
            </w:tcBorders>
            <w:shd w:val="clear" w:color="auto" w:fill="auto"/>
            <w:noWrap/>
            <w:vAlign w:val="bottom"/>
            <w:hideMark/>
          </w:tcPr>
          <w:p w14:paraId="49167019"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287</w:t>
            </w:r>
          </w:p>
        </w:tc>
        <w:tc>
          <w:tcPr>
            <w:tcW w:w="644" w:type="pct"/>
            <w:tcBorders>
              <w:top w:val="single" w:sz="4" w:space="0" w:color="auto"/>
              <w:bottom w:val="single" w:sz="4" w:space="0" w:color="auto"/>
            </w:tcBorders>
            <w:shd w:val="clear" w:color="auto" w:fill="auto"/>
            <w:noWrap/>
            <w:vAlign w:val="bottom"/>
            <w:hideMark/>
          </w:tcPr>
          <w:p w14:paraId="7CD748B1" w14:textId="77777777" w:rsidR="00EA313E" w:rsidRPr="00B67CC0" w:rsidRDefault="00EA313E" w:rsidP="00F42F0F">
            <w:pPr>
              <w:widowControl/>
              <w:autoSpaceDE/>
              <w:autoSpaceDN/>
              <w:ind w:left="-75" w:right="245"/>
              <w:jc w:val="right"/>
              <w:rPr>
                <w:rFonts w:asciiTheme="majorBidi" w:hAnsiTheme="majorBidi" w:cstheme="majorBidi"/>
                <w:color w:val="000000"/>
                <w14:ligatures w14:val="none"/>
              </w:rPr>
            </w:pPr>
            <w:r w:rsidRPr="00BD60A1">
              <w:rPr>
                <w:rFonts w:asciiTheme="majorBidi" w:hAnsiTheme="majorBidi" w:cstheme="majorBidi"/>
                <w:color w:val="000000"/>
                <w14:ligatures w14:val="none"/>
              </w:rPr>
              <w:t>1,026</w:t>
            </w:r>
          </w:p>
        </w:tc>
        <w:tc>
          <w:tcPr>
            <w:tcW w:w="644" w:type="pct"/>
            <w:tcBorders>
              <w:top w:val="single" w:sz="4" w:space="0" w:color="auto"/>
              <w:bottom w:val="single" w:sz="4" w:space="0" w:color="auto"/>
            </w:tcBorders>
            <w:vAlign w:val="bottom"/>
          </w:tcPr>
          <w:p w14:paraId="6A0CB7CB"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714</w:t>
            </w:r>
          </w:p>
        </w:tc>
        <w:tc>
          <w:tcPr>
            <w:tcW w:w="644" w:type="pct"/>
            <w:tcBorders>
              <w:top w:val="single" w:sz="4" w:space="0" w:color="auto"/>
              <w:bottom w:val="single" w:sz="4" w:space="0" w:color="auto"/>
            </w:tcBorders>
            <w:vAlign w:val="bottom"/>
          </w:tcPr>
          <w:p w14:paraId="04F3CC94"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204</w:t>
            </w:r>
          </w:p>
        </w:tc>
        <w:tc>
          <w:tcPr>
            <w:tcW w:w="643" w:type="pct"/>
            <w:tcBorders>
              <w:top w:val="single" w:sz="4" w:space="0" w:color="auto"/>
              <w:bottom w:val="single" w:sz="4" w:space="0" w:color="auto"/>
            </w:tcBorders>
            <w:vAlign w:val="bottom"/>
          </w:tcPr>
          <w:p w14:paraId="17FBF77A" w14:textId="77777777" w:rsidR="00EA313E" w:rsidRPr="00BD60A1" w:rsidRDefault="00EA313E" w:rsidP="00F42F0F">
            <w:pPr>
              <w:widowControl/>
              <w:autoSpaceDE/>
              <w:autoSpaceDN/>
              <w:ind w:left="-75" w:right="245"/>
              <w:jc w:val="right"/>
              <w:rPr>
                <w:rFonts w:asciiTheme="majorBidi" w:hAnsiTheme="majorBidi" w:cstheme="majorBidi"/>
                <w:color w:val="000000"/>
                <w14:ligatures w14:val="none"/>
              </w:rPr>
            </w:pPr>
            <w:r w:rsidRPr="008A5C75">
              <w:rPr>
                <w:rFonts w:asciiTheme="majorBidi" w:hAnsiTheme="majorBidi" w:cstheme="majorBidi"/>
                <w:color w:val="000000"/>
                <w14:ligatures w14:val="none"/>
              </w:rPr>
              <w:t>510</w:t>
            </w:r>
          </w:p>
        </w:tc>
      </w:tr>
      <w:tr w:rsidR="00EA313E" w:rsidRPr="008A5C75" w14:paraId="57934B57" w14:textId="77777777" w:rsidTr="00F42F0F">
        <w:tc>
          <w:tcPr>
            <w:tcW w:w="1137" w:type="pct"/>
            <w:tcBorders>
              <w:top w:val="single" w:sz="4" w:space="0" w:color="auto"/>
              <w:bottom w:val="double" w:sz="4" w:space="0" w:color="auto"/>
            </w:tcBorders>
            <w:shd w:val="clear" w:color="auto" w:fill="auto"/>
            <w:noWrap/>
            <w:vAlign w:val="bottom"/>
            <w:hideMark/>
          </w:tcPr>
          <w:p w14:paraId="30B94EF9" w14:textId="77777777" w:rsidR="00EA313E" w:rsidRPr="008A5C75" w:rsidRDefault="00EA313E" w:rsidP="00F42F0F">
            <w:pPr>
              <w:widowControl/>
              <w:autoSpaceDE/>
              <w:autoSpaceDN/>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Total</w:t>
            </w:r>
          </w:p>
        </w:tc>
        <w:tc>
          <w:tcPr>
            <w:tcW w:w="643" w:type="pct"/>
            <w:tcBorders>
              <w:top w:val="single" w:sz="4" w:space="0" w:color="auto"/>
              <w:bottom w:val="double" w:sz="4" w:space="0" w:color="auto"/>
            </w:tcBorders>
            <w:shd w:val="clear" w:color="auto" w:fill="auto"/>
            <w:noWrap/>
            <w:vAlign w:val="center"/>
            <w:hideMark/>
          </w:tcPr>
          <w:p w14:paraId="50177E33"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8,453</w:t>
            </w:r>
          </w:p>
        </w:tc>
        <w:tc>
          <w:tcPr>
            <w:tcW w:w="644" w:type="pct"/>
            <w:tcBorders>
              <w:top w:val="single" w:sz="4" w:space="0" w:color="auto"/>
              <w:bottom w:val="double" w:sz="4" w:space="0" w:color="auto"/>
            </w:tcBorders>
            <w:shd w:val="clear" w:color="auto" w:fill="auto"/>
            <w:noWrap/>
            <w:vAlign w:val="center"/>
            <w:hideMark/>
          </w:tcPr>
          <w:p w14:paraId="305138E7"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1,483</w:t>
            </w:r>
          </w:p>
        </w:tc>
        <w:tc>
          <w:tcPr>
            <w:tcW w:w="644" w:type="pct"/>
            <w:tcBorders>
              <w:top w:val="single" w:sz="4" w:space="0" w:color="auto"/>
              <w:bottom w:val="double" w:sz="4" w:space="0" w:color="auto"/>
            </w:tcBorders>
            <w:shd w:val="clear" w:color="auto" w:fill="auto"/>
            <w:noWrap/>
            <w:vAlign w:val="center"/>
            <w:hideMark/>
          </w:tcPr>
          <w:p w14:paraId="3700CF9C"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6,970</w:t>
            </w:r>
          </w:p>
        </w:tc>
        <w:tc>
          <w:tcPr>
            <w:tcW w:w="644" w:type="pct"/>
            <w:tcBorders>
              <w:top w:val="single" w:sz="4" w:space="0" w:color="auto"/>
              <w:bottom w:val="double" w:sz="4" w:space="0" w:color="auto"/>
            </w:tcBorders>
            <w:vAlign w:val="center"/>
          </w:tcPr>
          <w:p w14:paraId="35295768"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4</w:t>
            </w:r>
            <w:r>
              <w:rPr>
                <w:rFonts w:asciiTheme="majorBidi" w:hAnsiTheme="majorBidi" w:cstheme="majorBidi"/>
                <w:b/>
                <w:bCs/>
                <w:color w:val="000000"/>
                <w14:ligatures w14:val="none"/>
              </w:rPr>
              <w:t>,</w:t>
            </w:r>
            <w:r w:rsidRPr="008A5C75">
              <w:rPr>
                <w:rFonts w:asciiTheme="majorBidi" w:hAnsiTheme="majorBidi" w:cstheme="majorBidi"/>
                <w:b/>
                <w:bCs/>
                <w:color w:val="000000"/>
                <w14:ligatures w14:val="none"/>
              </w:rPr>
              <w:t>258</w:t>
            </w:r>
          </w:p>
        </w:tc>
        <w:tc>
          <w:tcPr>
            <w:tcW w:w="644" w:type="pct"/>
            <w:tcBorders>
              <w:top w:val="single" w:sz="4" w:space="0" w:color="auto"/>
              <w:bottom w:val="double" w:sz="4" w:space="0" w:color="auto"/>
            </w:tcBorders>
            <w:vAlign w:val="center"/>
          </w:tcPr>
          <w:p w14:paraId="0E0B126B"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1</w:t>
            </w:r>
            <w:r>
              <w:rPr>
                <w:rFonts w:asciiTheme="majorBidi" w:hAnsiTheme="majorBidi" w:cstheme="majorBidi"/>
                <w:b/>
                <w:bCs/>
                <w:color w:val="000000"/>
                <w14:ligatures w14:val="none"/>
              </w:rPr>
              <w:t>,</w:t>
            </w:r>
            <w:r w:rsidRPr="008A5C75">
              <w:rPr>
                <w:rFonts w:asciiTheme="majorBidi" w:hAnsiTheme="majorBidi" w:cstheme="majorBidi"/>
                <w:b/>
                <w:bCs/>
                <w:color w:val="000000"/>
                <w14:ligatures w14:val="none"/>
              </w:rPr>
              <w:t>065</w:t>
            </w:r>
          </w:p>
        </w:tc>
        <w:tc>
          <w:tcPr>
            <w:tcW w:w="643" w:type="pct"/>
            <w:tcBorders>
              <w:top w:val="single" w:sz="4" w:space="0" w:color="auto"/>
              <w:bottom w:val="double" w:sz="4" w:space="0" w:color="auto"/>
            </w:tcBorders>
            <w:vAlign w:val="center"/>
          </w:tcPr>
          <w:p w14:paraId="59CE39FB" w14:textId="77777777" w:rsidR="00EA313E" w:rsidRPr="008A5C75" w:rsidRDefault="00EA313E" w:rsidP="00F42F0F">
            <w:pPr>
              <w:widowControl/>
              <w:autoSpaceDE/>
              <w:autoSpaceDN/>
              <w:ind w:left="-75" w:right="245"/>
              <w:jc w:val="right"/>
              <w:rPr>
                <w:rFonts w:asciiTheme="majorBidi" w:hAnsiTheme="majorBidi" w:cstheme="majorBidi"/>
                <w:b/>
                <w:bCs/>
                <w:color w:val="000000"/>
                <w14:ligatures w14:val="none"/>
              </w:rPr>
            </w:pPr>
            <w:r w:rsidRPr="008A5C75">
              <w:rPr>
                <w:rFonts w:asciiTheme="majorBidi" w:hAnsiTheme="majorBidi" w:cstheme="majorBidi"/>
                <w:b/>
                <w:bCs/>
                <w:color w:val="000000"/>
                <w14:ligatures w14:val="none"/>
              </w:rPr>
              <w:t>3</w:t>
            </w:r>
            <w:r>
              <w:rPr>
                <w:rFonts w:asciiTheme="majorBidi" w:hAnsiTheme="majorBidi" w:cstheme="majorBidi"/>
                <w:b/>
                <w:bCs/>
                <w:color w:val="000000"/>
                <w14:ligatures w14:val="none"/>
              </w:rPr>
              <w:t>,</w:t>
            </w:r>
            <w:r w:rsidRPr="008A5C75">
              <w:rPr>
                <w:rFonts w:asciiTheme="majorBidi" w:hAnsiTheme="majorBidi" w:cstheme="majorBidi"/>
                <w:b/>
                <w:bCs/>
                <w:color w:val="000000"/>
                <w14:ligatures w14:val="none"/>
              </w:rPr>
              <w:t>193</w:t>
            </w:r>
          </w:p>
        </w:tc>
      </w:tr>
    </w:tbl>
    <w:p w14:paraId="48BE3DCB" w14:textId="77777777" w:rsidR="00EA313E" w:rsidRDefault="00EA313E" w:rsidP="00EA313E">
      <w:pPr>
        <w:adjustRightInd w:val="0"/>
        <w:spacing w:line="480" w:lineRule="auto"/>
        <w:jc w:val="both"/>
        <w:rPr>
          <w:rFonts w:asciiTheme="majorBidi" w:hAnsiTheme="majorBidi" w:cstheme="majorBidi"/>
        </w:rPr>
      </w:pPr>
    </w:p>
    <w:p w14:paraId="1079C0DD" w14:textId="77777777" w:rsidR="00EA313E" w:rsidRPr="00B67CC0" w:rsidRDefault="00EA313E" w:rsidP="00695058">
      <w:pPr>
        <w:adjustRightInd w:val="0"/>
        <w:jc w:val="both"/>
        <w:rPr>
          <w:rFonts w:asciiTheme="majorBidi" w:hAnsiTheme="majorBidi" w:cstheme="majorBidi"/>
        </w:rPr>
      </w:pPr>
    </w:p>
    <w:p w14:paraId="360B510B" w14:textId="77777777" w:rsidR="00695058" w:rsidRDefault="00695058" w:rsidP="00695058">
      <w:pPr>
        <w:widowControl/>
        <w:spacing w:line="480" w:lineRule="auto"/>
        <w:ind w:firstLine="432"/>
        <w:jc w:val="both"/>
        <w:rPr>
          <w:rFonts w:asciiTheme="majorBidi" w:hAnsiTheme="majorBidi" w:cstheme="majorBidi"/>
          <w:sz w:val="24"/>
          <w:szCs w:val="24"/>
        </w:rPr>
      </w:pPr>
    </w:p>
    <w:p w14:paraId="6DFBC43B" w14:textId="77777777" w:rsidR="00495D4F" w:rsidRDefault="00495D4F" w:rsidP="00695058">
      <w:pPr>
        <w:widowControl/>
        <w:spacing w:line="480" w:lineRule="auto"/>
        <w:ind w:firstLine="432"/>
        <w:jc w:val="both"/>
        <w:rPr>
          <w:rFonts w:asciiTheme="majorBidi" w:hAnsiTheme="majorBidi" w:cstheme="majorBidi"/>
          <w:sz w:val="24"/>
          <w:szCs w:val="24"/>
        </w:rPr>
      </w:pPr>
    </w:p>
    <w:p w14:paraId="23EC9A28" w14:textId="77777777" w:rsidR="00495D4F" w:rsidRDefault="00495D4F" w:rsidP="00695058">
      <w:pPr>
        <w:widowControl/>
        <w:spacing w:line="480" w:lineRule="auto"/>
        <w:ind w:firstLine="432"/>
        <w:jc w:val="both"/>
        <w:rPr>
          <w:rFonts w:asciiTheme="majorBidi" w:hAnsiTheme="majorBidi" w:cstheme="majorBidi"/>
          <w:sz w:val="24"/>
          <w:szCs w:val="24"/>
        </w:rPr>
      </w:pPr>
    </w:p>
    <w:p w14:paraId="031ECB59" w14:textId="77777777" w:rsidR="00495D4F" w:rsidRDefault="00495D4F" w:rsidP="00695058">
      <w:pPr>
        <w:widowControl/>
        <w:spacing w:line="480" w:lineRule="auto"/>
        <w:ind w:firstLine="432"/>
        <w:jc w:val="both"/>
        <w:rPr>
          <w:rFonts w:asciiTheme="majorBidi" w:hAnsiTheme="majorBidi" w:cstheme="majorBidi"/>
          <w:sz w:val="24"/>
          <w:szCs w:val="24"/>
        </w:rPr>
      </w:pPr>
    </w:p>
    <w:p w14:paraId="72689CE0" w14:textId="77777777" w:rsidR="00495D4F" w:rsidRPr="00B67CC0" w:rsidRDefault="00495D4F" w:rsidP="00695058">
      <w:pPr>
        <w:widowControl/>
        <w:spacing w:line="480" w:lineRule="auto"/>
        <w:ind w:firstLine="432"/>
        <w:jc w:val="both"/>
        <w:rPr>
          <w:rFonts w:asciiTheme="majorBidi" w:hAnsiTheme="majorBidi" w:cstheme="majorBidi"/>
          <w:sz w:val="24"/>
          <w:szCs w:val="24"/>
        </w:rPr>
      </w:pPr>
    </w:p>
    <w:p w14:paraId="4764F3C7" w14:textId="77777777" w:rsidR="00EA313E" w:rsidRDefault="00EA313E" w:rsidP="00EA313E">
      <w:pPr>
        <w:widowControl/>
        <w:autoSpaceDE/>
        <w:autoSpaceDN/>
        <w:jc w:val="center"/>
        <w:rPr>
          <w:rFonts w:asciiTheme="majorBidi" w:hAnsiTheme="majorBidi" w:cstheme="majorBidi"/>
          <w:b/>
          <w:bCs/>
          <w14:ligatures w14:val="none"/>
        </w:rPr>
      </w:pPr>
      <w:r w:rsidRPr="00B67CC0">
        <w:rPr>
          <w:rFonts w:asciiTheme="majorBidi" w:hAnsiTheme="majorBidi" w:cstheme="majorBidi"/>
          <w:b/>
          <w:bCs/>
          <w14:ligatures w14:val="none"/>
        </w:rPr>
        <w:lastRenderedPageBreak/>
        <w:t xml:space="preserve">Table </w:t>
      </w:r>
      <w:r>
        <w:rPr>
          <w:rFonts w:asciiTheme="majorBidi" w:hAnsiTheme="majorBidi" w:cstheme="majorBidi"/>
          <w:b/>
          <w:bCs/>
          <w14:ligatures w14:val="none"/>
        </w:rPr>
        <w:t>2</w:t>
      </w:r>
      <w:r w:rsidRPr="00B67CC0">
        <w:rPr>
          <w:rFonts w:asciiTheme="majorBidi" w:hAnsiTheme="majorBidi" w:cstheme="majorBidi"/>
          <w:b/>
          <w:bCs/>
          <w14:ligatures w14:val="none"/>
        </w:rPr>
        <w:t>: Descriptive Statistics</w:t>
      </w:r>
    </w:p>
    <w:p w14:paraId="06E90040" w14:textId="77777777" w:rsidR="00EA313E" w:rsidRPr="00B67CC0" w:rsidRDefault="00EA313E" w:rsidP="00EA313E">
      <w:pPr>
        <w:widowControl/>
        <w:autoSpaceDE/>
        <w:autoSpaceDN/>
        <w:rPr>
          <w:rFonts w:asciiTheme="majorBidi" w:hAnsiTheme="majorBidi" w:cstheme="majorBidi"/>
          <w:b/>
          <w:bCs/>
          <w14:ligatures w14:val="none"/>
        </w:rPr>
      </w:pPr>
      <w:r>
        <w:rPr>
          <w:rFonts w:asciiTheme="majorBidi" w:hAnsiTheme="majorBidi" w:cstheme="majorBidi"/>
          <w:b/>
          <w:bCs/>
          <w14:ligatures w14:val="none"/>
        </w:rPr>
        <w:t>Panel A:</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123"/>
        <w:gridCol w:w="1603"/>
        <w:gridCol w:w="1429"/>
        <w:gridCol w:w="1603"/>
        <w:gridCol w:w="1602"/>
      </w:tblGrid>
      <w:tr w:rsidR="00EA313E" w:rsidRPr="00700FC9" w14:paraId="29F7C199" w14:textId="77777777" w:rsidTr="00F42F0F">
        <w:tc>
          <w:tcPr>
            <w:tcW w:w="1668" w:type="pct"/>
            <w:tcBorders>
              <w:top w:val="double" w:sz="4" w:space="0" w:color="auto"/>
              <w:bottom w:val="double" w:sz="4" w:space="0" w:color="auto"/>
              <w:right w:val="nil"/>
            </w:tcBorders>
            <w:shd w:val="clear" w:color="auto" w:fill="auto"/>
            <w:noWrap/>
            <w:vAlign w:val="center"/>
            <w:hideMark/>
          </w:tcPr>
          <w:p w14:paraId="33BB3A64" w14:textId="77777777" w:rsidR="00EA313E" w:rsidRPr="00336FBC" w:rsidRDefault="00EA313E" w:rsidP="00F42F0F">
            <w:pPr>
              <w:widowControl/>
              <w:autoSpaceDE/>
              <w:autoSpaceDN/>
              <w:rPr>
                <w:rFonts w:asciiTheme="majorBidi" w:hAnsiTheme="majorBidi" w:cstheme="majorBidi"/>
                <w:color w:val="000000"/>
                <w14:ligatures w14:val="none"/>
              </w:rPr>
            </w:pPr>
            <w:r w:rsidRPr="00336FBC">
              <w:rPr>
                <w:rFonts w:asciiTheme="majorBidi" w:hAnsiTheme="majorBidi" w:cstheme="majorBidi"/>
                <w:color w:val="000000"/>
                <w14:ligatures w14:val="none"/>
              </w:rPr>
              <w:t>Variables</w:t>
            </w:r>
          </w:p>
        </w:tc>
        <w:tc>
          <w:tcPr>
            <w:tcW w:w="856" w:type="pct"/>
            <w:tcBorders>
              <w:top w:val="double" w:sz="4" w:space="0" w:color="auto"/>
              <w:left w:val="nil"/>
              <w:bottom w:val="double" w:sz="4" w:space="0" w:color="auto"/>
              <w:right w:val="nil"/>
            </w:tcBorders>
            <w:shd w:val="clear" w:color="auto" w:fill="auto"/>
            <w:vAlign w:val="center"/>
            <w:hideMark/>
          </w:tcPr>
          <w:p w14:paraId="30BBEF70" w14:textId="77777777" w:rsidR="00EA313E" w:rsidRPr="00336FBC" w:rsidRDefault="00EA313E" w:rsidP="00F42F0F">
            <w:pPr>
              <w:widowControl/>
              <w:autoSpaceDE/>
              <w:autoSpaceDN/>
              <w:jc w:val="center"/>
              <w:rPr>
                <w:rFonts w:asciiTheme="majorBidi" w:hAnsiTheme="majorBidi" w:cstheme="majorBidi"/>
                <w:color w:val="000000"/>
                <w14:ligatures w14:val="none"/>
              </w:rPr>
            </w:pPr>
            <w:r w:rsidRPr="00336FBC">
              <w:rPr>
                <w:rFonts w:asciiTheme="majorBidi" w:hAnsiTheme="majorBidi" w:cstheme="majorBidi"/>
                <w:color w:val="000000"/>
                <w14:ligatures w14:val="none"/>
              </w:rPr>
              <w:t>Bonds Issues</w:t>
            </w:r>
          </w:p>
        </w:tc>
        <w:tc>
          <w:tcPr>
            <w:tcW w:w="763" w:type="pct"/>
            <w:tcBorders>
              <w:top w:val="double" w:sz="4" w:space="0" w:color="auto"/>
              <w:left w:val="nil"/>
              <w:bottom w:val="double" w:sz="4" w:space="0" w:color="auto"/>
              <w:right w:val="nil"/>
            </w:tcBorders>
            <w:shd w:val="clear" w:color="auto" w:fill="auto"/>
            <w:vAlign w:val="center"/>
            <w:hideMark/>
          </w:tcPr>
          <w:p w14:paraId="34DD5EC0" w14:textId="77777777" w:rsidR="00EA313E" w:rsidRPr="00336FBC" w:rsidRDefault="00EA313E" w:rsidP="00F42F0F">
            <w:pPr>
              <w:widowControl/>
              <w:autoSpaceDE/>
              <w:autoSpaceDN/>
              <w:jc w:val="center"/>
              <w:rPr>
                <w:rFonts w:asciiTheme="majorBidi" w:hAnsiTheme="majorBidi" w:cstheme="majorBidi"/>
                <w:color w:val="000000"/>
                <w14:ligatures w14:val="none"/>
              </w:rPr>
            </w:pPr>
            <w:r w:rsidRPr="00336FBC">
              <w:rPr>
                <w:rFonts w:asciiTheme="majorBidi" w:hAnsiTheme="majorBidi" w:cstheme="majorBidi"/>
                <w:color w:val="000000"/>
                <w14:ligatures w14:val="none"/>
              </w:rPr>
              <w:t>Issuers without ESG</w:t>
            </w:r>
          </w:p>
        </w:tc>
        <w:tc>
          <w:tcPr>
            <w:tcW w:w="856" w:type="pct"/>
            <w:tcBorders>
              <w:top w:val="double" w:sz="4" w:space="0" w:color="auto"/>
              <w:left w:val="nil"/>
              <w:bottom w:val="double" w:sz="4" w:space="0" w:color="auto"/>
              <w:right w:val="nil"/>
            </w:tcBorders>
            <w:shd w:val="clear" w:color="auto" w:fill="auto"/>
            <w:vAlign w:val="center"/>
            <w:hideMark/>
          </w:tcPr>
          <w:p w14:paraId="2B88B508" w14:textId="77777777" w:rsidR="00EA313E" w:rsidRPr="00336FBC" w:rsidRDefault="00EA313E" w:rsidP="00F42F0F">
            <w:pPr>
              <w:widowControl/>
              <w:autoSpaceDE/>
              <w:autoSpaceDN/>
              <w:jc w:val="center"/>
              <w:rPr>
                <w:rFonts w:asciiTheme="majorBidi" w:hAnsiTheme="majorBidi" w:cstheme="majorBidi"/>
                <w:color w:val="000000"/>
                <w14:ligatures w14:val="none"/>
              </w:rPr>
            </w:pPr>
            <w:r w:rsidRPr="00336FBC">
              <w:rPr>
                <w:rFonts w:asciiTheme="majorBidi" w:hAnsiTheme="majorBidi" w:cstheme="majorBidi"/>
                <w:color w:val="000000"/>
                <w14:ligatures w14:val="none"/>
              </w:rPr>
              <w:t>Issuers with ESG</w:t>
            </w:r>
          </w:p>
        </w:tc>
        <w:tc>
          <w:tcPr>
            <w:tcW w:w="856" w:type="pct"/>
            <w:tcBorders>
              <w:top w:val="double" w:sz="4" w:space="0" w:color="auto"/>
              <w:left w:val="nil"/>
              <w:bottom w:val="double" w:sz="4" w:space="0" w:color="auto"/>
            </w:tcBorders>
            <w:shd w:val="clear" w:color="auto" w:fill="auto"/>
            <w:vAlign w:val="center"/>
            <w:hideMark/>
          </w:tcPr>
          <w:p w14:paraId="3695C01C" w14:textId="77777777" w:rsidR="00EA313E" w:rsidRPr="00336FBC" w:rsidRDefault="00EA313E" w:rsidP="00F42F0F">
            <w:pPr>
              <w:widowControl/>
              <w:autoSpaceDE/>
              <w:autoSpaceDN/>
              <w:jc w:val="center"/>
              <w:rPr>
                <w:rFonts w:asciiTheme="majorBidi" w:hAnsiTheme="majorBidi" w:cstheme="majorBidi"/>
                <w:color w:val="000000"/>
                <w14:ligatures w14:val="none"/>
              </w:rPr>
            </w:pPr>
            <w:r w:rsidRPr="00336FBC">
              <w:rPr>
                <w:rFonts w:asciiTheme="majorBidi" w:hAnsiTheme="majorBidi" w:cstheme="majorBidi"/>
                <w:color w:val="000000"/>
                <w14:ligatures w14:val="none"/>
              </w:rPr>
              <w:t>Diff</w:t>
            </w:r>
          </w:p>
        </w:tc>
      </w:tr>
      <w:tr w:rsidR="00EA313E" w:rsidRPr="005C27DA" w14:paraId="28130F12" w14:textId="77777777" w:rsidTr="00F42F0F">
        <w:tc>
          <w:tcPr>
            <w:tcW w:w="1668" w:type="pct"/>
            <w:tcBorders>
              <w:right w:val="nil"/>
            </w:tcBorders>
            <w:shd w:val="clear" w:color="auto" w:fill="auto"/>
            <w:noWrap/>
            <w:vAlign w:val="center"/>
            <w:hideMark/>
          </w:tcPr>
          <w:p w14:paraId="20CAD2BD" w14:textId="77777777" w:rsidR="00EA313E" w:rsidRPr="005C27DA" w:rsidRDefault="00EA313E" w:rsidP="00F42F0F">
            <w:pPr>
              <w:widowControl/>
              <w:autoSpaceDE/>
              <w:autoSpaceDN/>
              <w:rPr>
                <w:b/>
                <w:bCs/>
                <w14:ligatures w14:val="none"/>
              </w:rPr>
            </w:pPr>
            <w:r w:rsidRPr="005C27DA">
              <w:rPr>
                <w:b/>
                <w:bCs/>
                <w14:ligatures w14:val="none"/>
              </w:rPr>
              <w:t>Issuer characteristics</w:t>
            </w:r>
          </w:p>
        </w:tc>
        <w:tc>
          <w:tcPr>
            <w:tcW w:w="856" w:type="pct"/>
            <w:tcBorders>
              <w:left w:val="nil"/>
              <w:right w:val="nil"/>
            </w:tcBorders>
            <w:shd w:val="clear" w:color="auto" w:fill="auto"/>
            <w:noWrap/>
            <w:vAlign w:val="center"/>
            <w:hideMark/>
          </w:tcPr>
          <w:p w14:paraId="2003736E" w14:textId="77777777" w:rsidR="00EA313E" w:rsidRPr="005C27DA" w:rsidRDefault="00EA313E" w:rsidP="00F42F0F">
            <w:pPr>
              <w:widowControl/>
              <w:autoSpaceDE/>
              <w:autoSpaceDN/>
              <w:rPr>
                <w:b/>
                <w:bCs/>
                <w14:ligatures w14:val="none"/>
              </w:rPr>
            </w:pPr>
          </w:p>
        </w:tc>
        <w:tc>
          <w:tcPr>
            <w:tcW w:w="763" w:type="pct"/>
            <w:tcBorders>
              <w:left w:val="nil"/>
              <w:right w:val="nil"/>
            </w:tcBorders>
            <w:shd w:val="clear" w:color="auto" w:fill="auto"/>
            <w:noWrap/>
            <w:vAlign w:val="center"/>
            <w:hideMark/>
          </w:tcPr>
          <w:p w14:paraId="3F700379" w14:textId="77777777" w:rsidR="00EA313E" w:rsidRPr="005C27DA" w:rsidRDefault="00EA313E" w:rsidP="00F42F0F">
            <w:pPr>
              <w:widowControl/>
              <w:autoSpaceDE/>
              <w:autoSpaceDN/>
              <w:rPr>
                <w:b/>
                <w:bCs/>
                <w14:ligatures w14:val="none"/>
              </w:rPr>
            </w:pPr>
          </w:p>
        </w:tc>
        <w:tc>
          <w:tcPr>
            <w:tcW w:w="856" w:type="pct"/>
            <w:tcBorders>
              <w:left w:val="nil"/>
              <w:right w:val="nil"/>
            </w:tcBorders>
            <w:shd w:val="clear" w:color="auto" w:fill="auto"/>
            <w:noWrap/>
            <w:vAlign w:val="center"/>
            <w:hideMark/>
          </w:tcPr>
          <w:p w14:paraId="474221DB" w14:textId="77777777" w:rsidR="00EA313E" w:rsidRPr="005C27DA" w:rsidRDefault="00EA313E" w:rsidP="00F42F0F">
            <w:pPr>
              <w:widowControl/>
              <w:autoSpaceDE/>
              <w:autoSpaceDN/>
              <w:rPr>
                <w:b/>
                <w:bCs/>
                <w14:ligatures w14:val="none"/>
              </w:rPr>
            </w:pPr>
          </w:p>
        </w:tc>
        <w:tc>
          <w:tcPr>
            <w:tcW w:w="856" w:type="pct"/>
            <w:tcBorders>
              <w:left w:val="nil"/>
            </w:tcBorders>
            <w:shd w:val="clear" w:color="auto" w:fill="auto"/>
            <w:noWrap/>
            <w:vAlign w:val="center"/>
            <w:hideMark/>
          </w:tcPr>
          <w:p w14:paraId="4F19B3C9" w14:textId="77777777" w:rsidR="00EA313E" w:rsidRPr="005C27DA" w:rsidRDefault="00EA313E" w:rsidP="00F42F0F">
            <w:pPr>
              <w:widowControl/>
              <w:autoSpaceDE/>
              <w:autoSpaceDN/>
              <w:rPr>
                <w:b/>
                <w:bCs/>
                <w14:ligatures w14:val="none"/>
              </w:rPr>
            </w:pPr>
          </w:p>
        </w:tc>
      </w:tr>
      <w:tr w:rsidR="00EA313E" w:rsidRPr="00336FBC" w14:paraId="4A978DFA" w14:textId="77777777" w:rsidTr="00F42F0F">
        <w:tc>
          <w:tcPr>
            <w:tcW w:w="1668" w:type="pct"/>
            <w:tcBorders>
              <w:right w:val="nil"/>
            </w:tcBorders>
            <w:shd w:val="clear" w:color="auto" w:fill="auto"/>
            <w:noWrap/>
            <w:vAlign w:val="bottom"/>
            <w:hideMark/>
          </w:tcPr>
          <w:p w14:paraId="7E35F256" w14:textId="77777777" w:rsidR="00EA313E" w:rsidRPr="00EB288C" w:rsidRDefault="00EA313E" w:rsidP="00F42F0F">
            <w:pPr>
              <w:widowControl/>
              <w:autoSpaceDE/>
              <w:autoSpaceDN/>
              <w:rPr>
                <w:color w:val="000000"/>
              </w:rPr>
            </w:pPr>
            <w:r w:rsidRPr="00EB288C">
              <w:rPr>
                <w:color w:val="000000"/>
              </w:rPr>
              <w:t>Issuer Size</w:t>
            </w:r>
          </w:p>
        </w:tc>
        <w:tc>
          <w:tcPr>
            <w:tcW w:w="856" w:type="pct"/>
            <w:tcBorders>
              <w:left w:val="nil"/>
              <w:right w:val="nil"/>
            </w:tcBorders>
            <w:shd w:val="clear" w:color="auto" w:fill="auto"/>
            <w:noWrap/>
            <w:vAlign w:val="bottom"/>
            <w:hideMark/>
          </w:tcPr>
          <w:p w14:paraId="769ED469"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15.945</w:t>
            </w:r>
          </w:p>
        </w:tc>
        <w:tc>
          <w:tcPr>
            <w:tcW w:w="763" w:type="pct"/>
            <w:tcBorders>
              <w:left w:val="nil"/>
              <w:right w:val="nil"/>
            </w:tcBorders>
            <w:shd w:val="clear" w:color="auto" w:fill="auto"/>
            <w:noWrap/>
            <w:vAlign w:val="bottom"/>
            <w:hideMark/>
          </w:tcPr>
          <w:p w14:paraId="4647B40F"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14.847</w:t>
            </w:r>
          </w:p>
        </w:tc>
        <w:tc>
          <w:tcPr>
            <w:tcW w:w="856" w:type="pct"/>
            <w:tcBorders>
              <w:left w:val="nil"/>
              <w:right w:val="nil"/>
            </w:tcBorders>
            <w:shd w:val="clear" w:color="auto" w:fill="auto"/>
            <w:noWrap/>
            <w:vAlign w:val="bottom"/>
            <w:hideMark/>
          </w:tcPr>
          <w:p w14:paraId="47D37D4A"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16.312</w:t>
            </w:r>
          </w:p>
        </w:tc>
        <w:tc>
          <w:tcPr>
            <w:tcW w:w="856" w:type="pct"/>
            <w:tcBorders>
              <w:left w:val="nil"/>
            </w:tcBorders>
            <w:shd w:val="clear" w:color="auto" w:fill="auto"/>
            <w:noWrap/>
            <w:vAlign w:val="bottom"/>
            <w:hideMark/>
          </w:tcPr>
          <w:p w14:paraId="177A518F"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1.465**</w:t>
            </w:r>
          </w:p>
        </w:tc>
      </w:tr>
      <w:tr w:rsidR="00EA313E" w:rsidRPr="00336FBC" w14:paraId="107CFFF7" w14:textId="77777777" w:rsidTr="00F42F0F">
        <w:tc>
          <w:tcPr>
            <w:tcW w:w="1668" w:type="pct"/>
            <w:tcBorders>
              <w:right w:val="nil"/>
            </w:tcBorders>
            <w:shd w:val="clear" w:color="auto" w:fill="auto"/>
            <w:noWrap/>
            <w:vAlign w:val="bottom"/>
            <w:hideMark/>
          </w:tcPr>
          <w:p w14:paraId="332E7E0C" w14:textId="77777777" w:rsidR="00EA313E" w:rsidRPr="00EB288C" w:rsidRDefault="00EA313E" w:rsidP="00F42F0F">
            <w:pPr>
              <w:widowControl/>
              <w:autoSpaceDE/>
              <w:autoSpaceDN/>
              <w:rPr>
                <w:color w:val="000000"/>
              </w:rPr>
            </w:pPr>
            <w:r w:rsidRPr="00EB288C">
              <w:rPr>
                <w:color w:val="000000"/>
              </w:rPr>
              <w:t>Leverage</w:t>
            </w:r>
          </w:p>
        </w:tc>
        <w:tc>
          <w:tcPr>
            <w:tcW w:w="856" w:type="pct"/>
            <w:tcBorders>
              <w:left w:val="nil"/>
              <w:right w:val="nil"/>
            </w:tcBorders>
            <w:shd w:val="clear" w:color="auto" w:fill="auto"/>
            <w:noWrap/>
            <w:vAlign w:val="bottom"/>
            <w:hideMark/>
          </w:tcPr>
          <w:p w14:paraId="19A65E1D"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38.237</w:t>
            </w:r>
          </w:p>
        </w:tc>
        <w:tc>
          <w:tcPr>
            <w:tcW w:w="763" w:type="pct"/>
            <w:tcBorders>
              <w:left w:val="nil"/>
              <w:right w:val="nil"/>
            </w:tcBorders>
            <w:shd w:val="clear" w:color="auto" w:fill="auto"/>
            <w:noWrap/>
            <w:vAlign w:val="bottom"/>
            <w:hideMark/>
          </w:tcPr>
          <w:p w14:paraId="1E754A84"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45.683</w:t>
            </w:r>
          </w:p>
        </w:tc>
        <w:tc>
          <w:tcPr>
            <w:tcW w:w="856" w:type="pct"/>
            <w:tcBorders>
              <w:left w:val="nil"/>
              <w:right w:val="nil"/>
            </w:tcBorders>
            <w:shd w:val="clear" w:color="auto" w:fill="auto"/>
            <w:noWrap/>
            <w:vAlign w:val="bottom"/>
            <w:hideMark/>
          </w:tcPr>
          <w:p w14:paraId="14B8647A"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35.754</w:t>
            </w:r>
          </w:p>
        </w:tc>
        <w:tc>
          <w:tcPr>
            <w:tcW w:w="856" w:type="pct"/>
            <w:tcBorders>
              <w:left w:val="nil"/>
            </w:tcBorders>
            <w:shd w:val="clear" w:color="auto" w:fill="auto"/>
            <w:noWrap/>
            <w:vAlign w:val="bottom"/>
            <w:hideMark/>
          </w:tcPr>
          <w:p w14:paraId="00F34A7B"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-9.929**</w:t>
            </w:r>
          </w:p>
        </w:tc>
      </w:tr>
      <w:tr w:rsidR="00EA313E" w:rsidRPr="00336FBC" w14:paraId="067AA5CD" w14:textId="77777777" w:rsidTr="00F42F0F">
        <w:tc>
          <w:tcPr>
            <w:tcW w:w="1668" w:type="pct"/>
            <w:tcBorders>
              <w:right w:val="nil"/>
            </w:tcBorders>
            <w:shd w:val="clear" w:color="auto" w:fill="auto"/>
            <w:noWrap/>
            <w:vAlign w:val="bottom"/>
            <w:hideMark/>
          </w:tcPr>
          <w:p w14:paraId="267471D0" w14:textId="77777777" w:rsidR="00EA313E" w:rsidRPr="00EB288C" w:rsidRDefault="00EA313E" w:rsidP="00F42F0F">
            <w:pPr>
              <w:widowControl/>
              <w:autoSpaceDE/>
              <w:autoSpaceDN/>
              <w:rPr>
                <w:color w:val="000000"/>
              </w:rPr>
            </w:pPr>
            <w:r w:rsidRPr="00EB288C">
              <w:rPr>
                <w:color w:val="000000"/>
              </w:rPr>
              <w:t>Big4</w:t>
            </w:r>
          </w:p>
        </w:tc>
        <w:tc>
          <w:tcPr>
            <w:tcW w:w="856" w:type="pct"/>
            <w:tcBorders>
              <w:left w:val="nil"/>
              <w:right w:val="nil"/>
            </w:tcBorders>
            <w:shd w:val="clear" w:color="auto" w:fill="auto"/>
            <w:noWrap/>
            <w:vAlign w:val="bottom"/>
            <w:hideMark/>
          </w:tcPr>
          <w:p w14:paraId="5C3EF7B0"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0.228</w:t>
            </w:r>
          </w:p>
        </w:tc>
        <w:tc>
          <w:tcPr>
            <w:tcW w:w="763" w:type="pct"/>
            <w:tcBorders>
              <w:left w:val="nil"/>
              <w:right w:val="nil"/>
            </w:tcBorders>
            <w:shd w:val="clear" w:color="auto" w:fill="auto"/>
            <w:noWrap/>
            <w:vAlign w:val="bottom"/>
            <w:hideMark/>
          </w:tcPr>
          <w:p w14:paraId="76B10931"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0.165</w:t>
            </w:r>
          </w:p>
        </w:tc>
        <w:tc>
          <w:tcPr>
            <w:tcW w:w="856" w:type="pct"/>
            <w:tcBorders>
              <w:left w:val="nil"/>
              <w:right w:val="nil"/>
            </w:tcBorders>
            <w:shd w:val="clear" w:color="auto" w:fill="auto"/>
            <w:noWrap/>
            <w:vAlign w:val="bottom"/>
            <w:hideMark/>
          </w:tcPr>
          <w:p w14:paraId="00BA94B1"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0.249</w:t>
            </w:r>
          </w:p>
        </w:tc>
        <w:tc>
          <w:tcPr>
            <w:tcW w:w="856" w:type="pct"/>
            <w:tcBorders>
              <w:left w:val="nil"/>
            </w:tcBorders>
            <w:shd w:val="clear" w:color="auto" w:fill="auto"/>
            <w:noWrap/>
            <w:vAlign w:val="bottom"/>
            <w:hideMark/>
          </w:tcPr>
          <w:p w14:paraId="10E6EF65"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0.084**</w:t>
            </w:r>
          </w:p>
        </w:tc>
      </w:tr>
      <w:tr w:rsidR="00EA313E" w:rsidRPr="00336FBC" w14:paraId="654164B2" w14:textId="77777777" w:rsidTr="00F42F0F">
        <w:tc>
          <w:tcPr>
            <w:tcW w:w="1668" w:type="pct"/>
            <w:tcBorders>
              <w:right w:val="nil"/>
            </w:tcBorders>
            <w:shd w:val="clear" w:color="auto" w:fill="auto"/>
            <w:noWrap/>
            <w:vAlign w:val="bottom"/>
            <w:hideMark/>
          </w:tcPr>
          <w:p w14:paraId="2A37599E" w14:textId="77777777" w:rsidR="00EA313E" w:rsidRPr="00EB288C" w:rsidRDefault="00EA313E" w:rsidP="00F42F0F">
            <w:pPr>
              <w:widowControl/>
              <w:autoSpaceDE/>
              <w:autoSpaceDN/>
              <w:rPr>
                <w:color w:val="000000"/>
              </w:rPr>
            </w:pPr>
            <w:r w:rsidRPr="00EB288C">
              <w:rPr>
                <w:color w:val="000000"/>
              </w:rPr>
              <w:t>Return on Assets</w:t>
            </w:r>
          </w:p>
        </w:tc>
        <w:tc>
          <w:tcPr>
            <w:tcW w:w="856" w:type="pct"/>
            <w:tcBorders>
              <w:left w:val="nil"/>
              <w:right w:val="nil"/>
            </w:tcBorders>
            <w:shd w:val="clear" w:color="auto" w:fill="auto"/>
            <w:noWrap/>
            <w:vAlign w:val="bottom"/>
            <w:hideMark/>
          </w:tcPr>
          <w:p w14:paraId="2875BDB5"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4.454</w:t>
            </w:r>
          </w:p>
        </w:tc>
        <w:tc>
          <w:tcPr>
            <w:tcW w:w="763" w:type="pct"/>
            <w:tcBorders>
              <w:left w:val="nil"/>
              <w:right w:val="nil"/>
            </w:tcBorders>
            <w:shd w:val="clear" w:color="auto" w:fill="auto"/>
            <w:noWrap/>
            <w:vAlign w:val="bottom"/>
            <w:hideMark/>
          </w:tcPr>
          <w:p w14:paraId="47FB8688"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1.343</w:t>
            </w:r>
          </w:p>
        </w:tc>
        <w:tc>
          <w:tcPr>
            <w:tcW w:w="856" w:type="pct"/>
            <w:tcBorders>
              <w:left w:val="nil"/>
              <w:right w:val="nil"/>
            </w:tcBorders>
            <w:shd w:val="clear" w:color="auto" w:fill="auto"/>
            <w:noWrap/>
            <w:vAlign w:val="bottom"/>
            <w:hideMark/>
          </w:tcPr>
          <w:p w14:paraId="1764F353"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5.491</w:t>
            </w:r>
          </w:p>
        </w:tc>
        <w:tc>
          <w:tcPr>
            <w:tcW w:w="856" w:type="pct"/>
            <w:tcBorders>
              <w:left w:val="nil"/>
            </w:tcBorders>
            <w:shd w:val="clear" w:color="auto" w:fill="auto"/>
            <w:noWrap/>
            <w:vAlign w:val="bottom"/>
            <w:hideMark/>
          </w:tcPr>
          <w:p w14:paraId="16D78621"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4.148**</w:t>
            </w:r>
          </w:p>
        </w:tc>
      </w:tr>
      <w:tr w:rsidR="00EA313E" w:rsidRPr="00336FBC" w14:paraId="687C8264" w14:textId="77777777" w:rsidTr="00F42F0F">
        <w:tc>
          <w:tcPr>
            <w:tcW w:w="1668" w:type="pct"/>
            <w:tcBorders>
              <w:right w:val="nil"/>
            </w:tcBorders>
            <w:shd w:val="clear" w:color="auto" w:fill="auto"/>
            <w:noWrap/>
            <w:vAlign w:val="bottom"/>
            <w:hideMark/>
          </w:tcPr>
          <w:p w14:paraId="18C0F029" w14:textId="77777777" w:rsidR="00EA313E" w:rsidRPr="00EB288C" w:rsidRDefault="00EA313E" w:rsidP="00F42F0F">
            <w:pPr>
              <w:widowControl/>
              <w:autoSpaceDE/>
              <w:autoSpaceDN/>
              <w:rPr>
                <w:color w:val="000000"/>
              </w:rPr>
            </w:pPr>
            <w:r w:rsidRPr="00EB288C">
              <w:rPr>
                <w:color w:val="000000"/>
              </w:rPr>
              <w:t>Z-score</w:t>
            </w:r>
          </w:p>
        </w:tc>
        <w:tc>
          <w:tcPr>
            <w:tcW w:w="856" w:type="pct"/>
            <w:tcBorders>
              <w:left w:val="nil"/>
              <w:right w:val="nil"/>
            </w:tcBorders>
            <w:shd w:val="clear" w:color="auto" w:fill="auto"/>
            <w:noWrap/>
            <w:vAlign w:val="bottom"/>
            <w:hideMark/>
          </w:tcPr>
          <w:p w14:paraId="3CCA1329"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1.884</w:t>
            </w:r>
          </w:p>
        </w:tc>
        <w:tc>
          <w:tcPr>
            <w:tcW w:w="763" w:type="pct"/>
            <w:tcBorders>
              <w:left w:val="nil"/>
              <w:right w:val="nil"/>
            </w:tcBorders>
            <w:shd w:val="clear" w:color="auto" w:fill="auto"/>
            <w:noWrap/>
            <w:vAlign w:val="bottom"/>
            <w:hideMark/>
          </w:tcPr>
          <w:p w14:paraId="2F4DE390"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1.235</w:t>
            </w:r>
          </w:p>
        </w:tc>
        <w:tc>
          <w:tcPr>
            <w:tcW w:w="856" w:type="pct"/>
            <w:tcBorders>
              <w:left w:val="nil"/>
              <w:right w:val="nil"/>
            </w:tcBorders>
            <w:shd w:val="clear" w:color="auto" w:fill="auto"/>
            <w:noWrap/>
            <w:vAlign w:val="bottom"/>
            <w:hideMark/>
          </w:tcPr>
          <w:p w14:paraId="5A1FD2B8"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2.101</w:t>
            </w:r>
          </w:p>
        </w:tc>
        <w:tc>
          <w:tcPr>
            <w:tcW w:w="856" w:type="pct"/>
            <w:tcBorders>
              <w:left w:val="nil"/>
            </w:tcBorders>
            <w:shd w:val="clear" w:color="auto" w:fill="auto"/>
            <w:noWrap/>
            <w:vAlign w:val="bottom"/>
            <w:hideMark/>
          </w:tcPr>
          <w:p w14:paraId="11E3BAA8"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0.865**</w:t>
            </w:r>
          </w:p>
        </w:tc>
      </w:tr>
      <w:tr w:rsidR="00EA313E" w:rsidRPr="00336FBC" w14:paraId="7FBCF7AF" w14:textId="77777777" w:rsidTr="00F42F0F">
        <w:tc>
          <w:tcPr>
            <w:tcW w:w="1668" w:type="pct"/>
            <w:tcBorders>
              <w:right w:val="nil"/>
            </w:tcBorders>
            <w:shd w:val="clear" w:color="auto" w:fill="auto"/>
            <w:noWrap/>
            <w:vAlign w:val="center"/>
          </w:tcPr>
          <w:p w14:paraId="0BA31B7C" w14:textId="77777777" w:rsidR="00EA313E" w:rsidRPr="00EB288C" w:rsidRDefault="00EA313E" w:rsidP="00F42F0F">
            <w:pPr>
              <w:widowControl/>
              <w:autoSpaceDE/>
              <w:autoSpaceDN/>
              <w:rPr>
                <w:color w:val="000000"/>
              </w:rPr>
            </w:pPr>
            <w:r>
              <w:rPr>
                <w:color w:val="000000"/>
              </w:rPr>
              <w:t xml:space="preserve">ESG Combined </w:t>
            </w:r>
          </w:p>
        </w:tc>
        <w:tc>
          <w:tcPr>
            <w:tcW w:w="856" w:type="pct"/>
            <w:tcBorders>
              <w:left w:val="nil"/>
              <w:right w:val="nil"/>
            </w:tcBorders>
            <w:shd w:val="clear" w:color="auto" w:fill="auto"/>
            <w:noWrap/>
            <w:vAlign w:val="bottom"/>
          </w:tcPr>
          <w:p w14:paraId="0B621FC5"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35.332</w:t>
            </w:r>
          </w:p>
        </w:tc>
        <w:tc>
          <w:tcPr>
            <w:tcW w:w="763" w:type="pct"/>
            <w:tcBorders>
              <w:left w:val="nil"/>
              <w:right w:val="nil"/>
            </w:tcBorders>
            <w:shd w:val="clear" w:color="auto" w:fill="auto"/>
            <w:noWrap/>
            <w:vAlign w:val="bottom"/>
          </w:tcPr>
          <w:p w14:paraId="4E697320" w14:textId="77777777" w:rsidR="00EA313E" w:rsidRPr="00EB288C" w:rsidRDefault="00EA313E" w:rsidP="00F42F0F">
            <w:pPr>
              <w:widowControl/>
              <w:tabs>
                <w:tab w:val="decimal" w:pos="316"/>
                <w:tab w:val="decimal" w:pos="750"/>
              </w:tabs>
              <w:autoSpaceDE/>
              <w:autoSpaceDN/>
              <w:ind w:left="-75" w:right="245"/>
              <w:rPr>
                <w:rFonts w:asciiTheme="majorBidi" w:hAnsiTheme="majorBidi" w:cstheme="majorBidi"/>
                <w:color w:val="000000"/>
                <w14:ligatures w14:val="none"/>
              </w:rPr>
            </w:pPr>
          </w:p>
        </w:tc>
        <w:tc>
          <w:tcPr>
            <w:tcW w:w="856" w:type="pct"/>
            <w:tcBorders>
              <w:left w:val="nil"/>
              <w:right w:val="nil"/>
            </w:tcBorders>
            <w:shd w:val="clear" w:color="auto" w:fill="auto"/>
            <w:noWrap/>
            <w:vAlign w:val="bottom"/>
          </w:tcPr>
          <w:p w14:paraId="3E72730F"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47.116</w:t>
            </w:r>
          </w:p>
        </w:tc>
        <w:tc>
          <w:tcPr>
            <w:tcW w:w="856" w:type="pct"/>
            <w:tcBorders>
              <w:left w:val="nil"/>
            </w:tcBorders>
            <w:shd w:val="clear" w:color="auto" w:fill="auto"/>
            <w:noWrap/>
            <w:vAlign w:val="bottom"/>
          </w:tcPr>
          <w:p w14:paraId="47B4D786"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p>
        </w:tc>
      </w:tr>
      <w:tr w:rsidR="00EA313E" w:rsidRPr="00336FBC" w14:paraId="3DD36179" w14:textId="77777777" w:rsidTr="00F42F0F">
        <w:tc>
          <w:tcPr>
            <w:tcW w:w="1668" w:type="pct"/>
            <w:tcBorders>
              <w:right w:val="nil"/>
            </w:tcBorders>
            <w:shd w:val="clear" w:color="auto" w:fill="auto"/>
            <w:noWrap/>
            <w:vAlign w:val="center"/>
          </w:tcPr>
          <w:p w14:paraId="0F76E3C5" w14:textId="77777777" w:rsidR="00EA313E" w:rsidRPr="00EB288C" w:rsidRDefault="00EA313E" w:rsidP="00F42F0F">
            <w:pPr>
              <w:widowControl/>
              <w:autoSpaceDE/>
              <w:autoSpaceDN/>
              <w:rPr>
                <w:color w:val="000000"/>
              </w:rPr>
            </w:pPr>
            <w:r>
              <w:rPr>
                <w:color w:val="000000"/>
              </w:rPr>
              <w:t xml:space="preserve">  ESG Controversies *</w:t>
            </w:r>
          </w:p>
        </w:tc>
        <w:tc>
          <w:tcPr>
            <w:tcW w:w="856" w:type="pct"/>
            <w:tcBorders>
              <w:left w:val="nil"/>
              <w:right w:val="nil"/>
            </w:tcBorders>
            <w:shd w:val="clear" w:color="auto" w:fill="auto"/>
            <w:noWrap/>
            <w:vAlign w:val="bottom"/>
          </w:tcPr>
          <w:p w14:paraId="5F0CC552"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58.926</w:t>
            </w:r>
          </w:p>
        </w:tc>
        <w:tc>
          <w:tcPr>
            <w:tcW w:w="763" w:type="pct"/>
            <w:tcBorders>
              <w:left w:val="nil"/>
              <w:right w:val="nil"/>
            </w:tcBorders>
            <w:shd w:val="clear" w:color="auto" w:fill="auto"/>
            <w:noWrap/>
            <w:vAlign w:val="bottom"/>
          </w:tcPr>
          <w:p w14:paraId="07FAC2F1" w14:textId="77777777" w:rsidR="00EA313E" w:rsidRPr="00EB288C" w:rsidRDefault="00EA313E" w:rsidP="00F42F0F">
            <w:pPr>
              <w:widowControl/>
              <w:tabs>
                <w:tab w:val="decimal" w:pos="316"/>
                <w:tab w:val="decimal" w:pos="750"/>
              </w:tabs>
              <w:autoSpaceDE/>
              <w:autoSpaceDN/>
              <w:ind w:left="-75" w:right="245"/>
              <w:rPr>
                <w:rFonts w:asciiTheme="majorBidi" w:hAnsiTheme="majorBidi" w:cstheme="majorBidi"/>
                <w:color w:val="000000"/>
                <w14:ligatures w14:val="none"/>
              </w:rPr>
            </w:pPr>
          </w:p>
        </w:tc>
        <w:tc>
          <w:tcPr>
            <w:tcW w:w="856" w:type="pct"/>
            <w:tcBorders>
              <w:left w:val="nil"/>
              <w:right w:val="nil"/>
            </w:tcBorders>
            <w:shd w:val="clear" w:color="auto" w:fill="auto"/>
            <w:noWrap/>
            <w:vAlign w:val="bottom"/>
          </w:tcPr>
          <w:p w14:paraId="3A155D76"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78.580</w:t>
            </w:r>
          </w:p>
        </w:tc>
        <w:tc>
          <w:tcPr>
            <w:tcW w:w="856" w:type="pct"/>
            <w:tcBorders>
              <w:left w:val="nil"/>
            </w:tcBorders>
            <w:shd w:val="clear" w:color="auto" w:fill="auto"/>
            <w:noWrap/>
            <w:vAlign w:val="bottom"/>
          </w:tcPr>
          <w:p w14:paraId="60AF3D66"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p>
        </w:tc>
      </w:tr>
      <w:tr w:rsidR="00EA313E" w:rsidRPr="00336FBC" w14:paraId="47BCFE5F" w14:textId="77777777" w:rsidTr="00F42F0F">
        <w:tc>
          <w:tcPr>
            <w:tcW w:w="1668" w:type="pct"/>
            <w:tcBorders>
              <w:right w:val="nil"/>
            </w:tcBorders>
            <w:shd w:val="clear" w:color="auto" w:fill="auto"/>
            <w:noWrap/>
            <w:vAlign w:val="center"/>
          </w:tcPr>
          <w:p w14:paraId="714F3C9D" w14:textId="77777777" w:rsidR="00EA313E" w:rsidRPr="00EB288C" w:rsidRDefault="00EA313E" w:rsidP="00F42F0F">
            <w:pPr>
              <w:widowControl/>
              <w:autoSpaceDE/>
              <w:autoSpaceDN/>
              <w:rPr>
                <w:color w:val="000000"/>
              </w:rPr>
            </w:pPr>
            <w:r>
              <w:rPr>
                <w:color w:val="000000"/>
              </w:rPr>
              <w:t xml:space="preserve">  ESG </w:t>
            </w:r>
          </w:p>
        </w:tc>
        <w:tc>
          <w:tcPr>
            <w:tcW w:w="856" w:type="pct"/>
            <w:tcBorders>
              <w:left w:val="nil"/>
              <w:right w:val="nil"/>
            </w:tcBorders>
            <w:shd w:val="clear" w:color="auto" w:fill="auto"/>
            <w:noWrap/>
            <w:vAlign w:val="bottom"/>
          </w:tcPr>
          <w:p w14:paraId="07D55530"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38.804</w:t>
            </w:r>
          </w:p>
        </w:tc>
        <w:tc>
          <w:tcPr>
            <w:tcW w:w="763" w:type="pct"/>
            <w:tcBorders>
              <w:left w:val="nil"/>
              <w:right w:val="nil"/>
            </w:tcBorders>
            <w:shd w:val="clear" w:color="auto" w:fill="auto"/>
            <w:noWrap/>
            <w:vAlign w:val="bottom"/>
          </w:tcPr>
          <w:p w14:paraId="1E31D98C" w14:textId="77777777" w:rsidR="00EA313E" w:rsidRPr="00EB288C" w:rsidRDefault="00EA313E" w:rsidP="00F42F0F">
            <w:pPr>
              <w:widowControl/>
              <w:tabs>
                <w:tab w:val="decimal" w:pos="316"/>
                <w:tab w:val="decimal" w:pos="750"/>
              </w:tabs>
              <w:autoSpaceDE/>
              <w:autoSpaceDN/>
              <w:ind w:left="-75" w:right="245"/>
              <w:rPr>
                <w:rFonts w:asciiTheme="majorBidi" w:hAnsiTheme="majorBidi" w:cstheme="majorBidi"/>
                <w:color w:val="000000"/>
                <w14:ligatures w14:val="none"/>
              </w:rPr>
            </w:pPr>
          </w:p>
        </w:tc>
        <w:tc>
          <w:tcPr>
            <w:tcW w:w="856" w:type="pct"/>
            <w:tcBorders>
              <w:left w:val="nil"/>
              <w:right w:val="nil"/>
            </w:tcBorders>
            <w:shd w:val="clear" w:color="auto" w:fill="auto"/>
            <w:noWrap/>
            <w:vAlign w:val="bottom"/>
          </w:tcPr>
          <w:p w14:paraId="797391CB"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51.747</w:t>
            </w:r>
          </w:p>
        </w:tc>
        <w:tc>
          <w:tcPr>
            <w:tcW w:w="856" w:type="pct"/>
            <w:tcBorders>
              <w:left w:val="nil"/>
            </w:tcBorders>
            <w:shd w:val="clear" w:color="auto" w:fill="auto"/>
            <w:noWrap/>
            <w:vAlign w:val="bottom"/>
          </w:tcPr>
          <w:p w14:paraId="61AD12F4"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p>
        </w:tc>
      </w:tr>
      <w:tr w:rsidR="00EA313E" w:rsidRPr="00336FBC" w14:paraId="3284ECCC" w14:textId="77777777" w:rsidTr="00F42F0F">
        <w:tc>
          <w:tcPr>
            <w:tcW w:w="1668" w:type="pct"/>
            <w:tcBorders>
              <w:right w:val="nil"/>
            </w:tcBorders>
            <w:shd w:val="clear" w:color="auto" w:fill="auto"/>
            <w:noWrap/>
            <w:vAlign w:val="center"/>
          </w:tcPr>
          <w:p w14:paraId="38775349" w14:textId="77777777" w:rsidR="00EA313E" w:rsidRPr="00EB288C" w:rsidRDefault="00EA313E" w:rsidP="00F42F0F">
            <w:pPr>
              <w:widowControl/>
              <w:autoSpaceDE/>
              <w:autoSpaceDN/>
              <w:rPr>
                <w:color w:val="000000"/>
              </w:rPr>
            </w:pPr>
            <w:r>
              <w:rPr>
                <w:color w:val="000000"/>
              </w:rPr>
              <w:t xml:space="preserve">   - Environment Pillar </w:t>
            </w:r>
          </w:p>
        </w:tc>
        <w:tc>
          <w:tcPr>
            <w:tcW w:w="856" w:type="pct"/>
            <w:tcBorders>
              <w:left w:val="nil"/>
              <w:right w:val="nil"/>
            </w:tcBorders>
            <w:shd w:val="clear" w:color="auto" w:fill="auto"/>
            <w:noWrap/>
            <w:vAlign w:val="bottom"/>
          </w:tcPr>
          <w:p w14:paraId="54C2EA04"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32.587</w:t>
            </w:r>
          </w:p>
        </w:tc>
        <w:tc>
          <w:tcPr>
            <w:tcW w:w="763" w:type="pct"/>
            <w:tcBorders>
              <w:left w:val="nil"/>
              <w:right w:val="nil"/>
            </w:tcBorders>
            <w:shd w:val="clear" w:color="auto" w:fill="auto"/>
            <w:noWrap/>
            <w:vAlign w:val="bottom"/>
          </w:tcPr>
          <w:p w14:paraId="549874C4" w14:textId="77777777" w:rsidR="00EA313E" w:rsidRPr="00EB288C" w:rsidRDefault="00EA313E" w:rsidP="00F42F0F">
            <w:pPr>
              <w:widowControl/>
              <w:tabs>
                <w:tab w:val="decimal" w:pos="316"/>
                <w:tab w:val="decimal" w:pos="750"/>
              </w:tabs>
              <w:autoSpaceDE/>
              <w:autoSpaceDN/>
              <w:ind w:left="-75" w:right="245"/>
              <w:rPr>
                <w:rFonts w:asciiTheme="majorBidi" w:hAnsiTheme="majorBidi" w:cstheme="majorBidi"/>
                <w:color w:val="000000"/>
                <w14:ligatures w14:val="none"/>
              </w:rPr>
            </w:pPr>
          </w:p>
        </w:tc>
        <w:tc>
          <w:tcPr>
            <w:tcW w:w="856" w:type="pct"/>
            <w:tcBorders>
              <w:left w:val="nil"/>
              <w:right w:val="nil"/>
            </w:tcBorders>
            <w:shd w:val="clear" w:color="auto" w:fill="auto"/>
            <w:noWrap/>
            <w:vAlign w:val="bottom"/>
          </w:tcPr>
          <w:p w14:paraId="77C470D2"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43.456</w:t>
            </w:r>
          </w:p>
        </w:tc>
        <w:tc>
          <w:tcPr>
            <w:tcW w:w="856" w:type="pct"/>
            <w:tcBorders>
              <w:left w:val="nil"/>
            </w:tcBorders>
            <w:shd w:val="clear" w:color="auto" w:fill="auto"/>
            <w:noWrap/>
            <w:vAlign w:val="bottom"/>
          </w:tcPr>
          <w:p w14:paraId="46291E87"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p>
        </w:tc>
      </w:tr>
      <w:tr w:rsidR="00EA313E" w:rsidRPr="00336FBC" w14:paraId="32D40B6E" w14:textId="77777777" w:rsidTr="00F42F0F">
        <w:tc>
          <w:tcPr>
            <w:tcW w:w="1668" w:type="pct"/>
            <w:tcBorders>
              <w:right w:val="nil"/>
            </w:tcBorders>
            <w:shd w:val="clear" w:color="auto" w:fill="auto"/>
            <w:noWrap/>
            <w:vAlign w:val="center"/>
          </w:tcPr>
          <w:p w14:paraId="307D1A17" w14:textId="77777777" w:rsidR="00EA313E" w:rsidRPr="00EB288C" w:rsidRDefault="00EA313E" w:rsidP="00F42F0F">
            <w:pPr>
              <w:widowControl/>
              <w:autoSpaceDE/>
              <w:autoSpaceDN/>
              <w:rPr>
                <w:color w:val="000000"/>
              </w:rPr>
            </w:pPr>
            <w:r>
              <w:rPr>
                <w:color w:val="000000"/>
              </w:rPr>
              <w:t xml:space="preserve">   - Social Pillar </w:t>
            </w:r>
          </w:p>
        </w:tc>
        <w:tc>
          <w:tcPr>
            <w:tcW w:w="856" w:type="pct"/>
            <w:tcBorders>
              <w:left w:val="nil"/>
              <w:right w:val="nil"/>
            </w:tcBorders>
            <w:shd w:val="clear" w:color="auto" w:fill="auto"/>
            <w:noWrap/>
            <w:vAlign w:val="bottom"/>
          </w:tcPr>
          <w:p w14:paraId="4A5E9EE0"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39.994</w:t>
            </w:r>
          </w:p>
        </w:tc>
        <w:tc>
          <w:tcPr>
            <w:tcW w:w="763" w:type="pct"/>
            <w:tcBorders>
              <w:left w:val="nil"/>
              <w:right w:val="nil"/>
            </w:tcBorders>
            <w:shd w:val="clear" w:color="auto" w:fill="auto"/>
            <w:noWrap/>
            <w:vAlign w:val="bottom"/>
          </w:tcPr>
          <w:p w14:paraId="2B01CBE5" w14:textId="77777777" w:rsidR="00EA313E" w:rsidRPr="00EB288C" w:rsidRDefault="00EA313E" w:rsidP="00F42F0F">
            <w:pPr>
              <w:widowControl/>
              <w:tabs>
                <w:tab w:val="decimal" w:pos="316"/>
                <w:tab w:val="decimal" w:pos="750"/>
              </w:tabs>
              <w:autoSpaceDE/>
              <w:autoSpaceDN/>
              <w:ind w:left="-75" w:right="245"/>
              <w:rPr>
                <w:rFonts w:asciiTheme="majorBidi" w:hAnsiTheme="majorBidi" w:cstheme="majorBidi"/>
                <w:color w:val="000000"/>
                <w14:ligatures w14:val="none"/>
              </w:rPr>
            </w:pPr>
          </w:p>
        </w:tc>
        <w:tc>
          <w:tcPr>
            <w:tcW w:w="856" w:type="pct"/>
            <w:tcBorders>
              <w:left w:val="nil"/>
              <w:right w:val="nil"/>
            </w:tcBorders>
            <w:shd w:val="clear" w:color="auto" w:fill="auto"/>
            <w:noWrap/>
            <w:vAlign w:val="bottom"/>
          </w:tcPr>
          <w:p w14:paraId="7EF7E5D5"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53.333</w:t>
            </w:r>
          </w:p>
        </w:tc>
        <w:tc>
          <w:tcPr>
            <w:tcW w:w="856" w:type="pct"/>
            <w:tcBorders>
              <w:left w:val="nil"/>
            </w:tcBorders>
            <w:shd w:val="clear" w:color="auto" w:fill="auto"/>
            <w:noWrap/>
            <w:vAlign w:val="bottom"/>
          </w:tcPr>
          <w:p w14:paraId="07390DD3"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p>
        </w:tc>
      </w:tr>
      <w:tr w:rsidR="00EA313E" w:rsidRPr="00336FBC" w14:paraId="6C0AEF15" w14:textId="77777777" w:rsidTr="00F42F0F">
        <w:tc>
          <w:tcPr>
            <w:tcW w:w="1668" w:type="pct"/>
            <w:tcBorders>
              <w:right w:val="nil"/>
            </w:tcBorders>
            <w:shd w:val="clear" w:color="auto" w:fill="auto"/>
            <w:noWrap/>
            <w:vAlign w:val="center"/>
          </w:tcPr>
          <w:p w14:paraId="0BC74225" w14:textId="77777777" w:rsidR="00EA313E" w:rsidRPr="00EB288C" w:rsidRDefault="00EA313E" w:rsidP="00F42F0F">
            <w:pPr>
              <w:widowControl/>
              <w:autoSpaceDE/>
              <w:autoSpaceDN/>
              <w:rPr>
                <w:color w:val="000000"/>
              </w:rPr>
            </w:pPr>
            <w:r>
              <w:rPr>
                <w:color w:val="000000"/>
              </w:rPr>
              <w:t xml:space="preserve">  - Governance Pillar </w:t>
            </w:r>
          </w:p>
        </w:tc>
        <w:tc>
          <w:tcPr>
            <w:tcW w:w="856" w:type="pct"/>
            <w:tcBorders>
              <w:left w:val="nil"/>
              <w:right w:val="nil"/>
            </w:tcBorders>
            <w:shd w:val="clear" w:color="auto" w:fill="auto"/>
            <w:noWrap/>
            <w:vAlign w:val="bottom"/>
          </w:tcPr>
          <w:p w14:paraId="76414E58"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42.391</w:t>
            </w:r>
          </w:p>
        </w:tc>
        <w:tc>
          <w:tcPr>
            <w:tcW w:w="763" w:type="pct"/>
            <w:tcBorders>
              <w:left w:val="nil"/>
              <w:right w:val="nil"/>
            </w:tcBorders>
            <w:shd w:val="clear" w:color="auto" w:fill="auto"/>
            <w:noWrap/>
            <w:vAlign w:val="bottom"/>
          </w:tcPr>
          <w:p w14:paraId="42677C0E" w14:textId="77777777" w:rsidR="00EA313E" w:rsidRPr="00EB288C" w:rsidRDefault="00EA313E" w:rsidP="00F42F0F">
            <w:pPr>
              <w:widowControl/>
              <w:tabs>
                <w:tab w:val="decimal" w:pos="316"/>
                <w:tab w:val="decimal" w:pos="750"/>
              </w:tabs>
              <w:autoSpaceDE/>
              <w:autoSpaceDN/>
              <w:ind w:left="-75" w:right="245"/>
              <w:rPr>
                <w:rFonts w:asciiTheme="majorBidi" w:hAnsiTheme="majorBidi" w:cstheme="majorBidi"/>
                <w:color w:val="000000"/>
                <w14:ligatures w14:val="none"/>
              </w:rPr>
            </w:pPr>
          </w:p>
        </w:tc>
        <w:tc>
          <w:tcPr>
            <w:tcW w:w="856" w:type="pct"/>
            <w:tcBorders>
              <w:left w:val="nil"/>
              <w:right w:val="nil"/>
            </w:tcBorders>
            <w:shd w:val="clear" w:color="auto" w:fill="auto"/>
            <w:noWrap/>
            <w:vAlign w:val="bottom"/>
          </w:tcPr>
          <w:p w14:paraId="170F091E"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D531AA">
              <w:rPr>
                <w:rFonts w:asciiTheme="majorBidi" w:hAnsiTheme="majorBidi" w:cstheme="majorBidi"/>
                <w:color w:val="000000"/>
                <w14:ligatures w14:val="none"/>
              </w:rPr>
              <w:t>56.530</w:t>
            </w:r>
          </w:p>
        </w:tc>
        <w:tc>
          <w:tcPr>
            <w:tcW w:w="856" w:type="pct"/>
            <w:tcBorders>
              <w:left w:val="nil"/>
            </w:tcBorders>
            <w:shd w:val="clear" w:color="auto" w:fill="auto"/>
            <w:noWrap/>
            <w:vAlign w:val="bottom"/>
          </w:tcPr>
          <w:p w14:paraId="36DD8A2F"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p>
        </w:tc>
      </w:tr>
      <w:tr w:rsidR="00EA313E" w:rsidRPr="00F8373F" w14:paraId="5D9C742E" w14:textId="77777777" w:rsidTr="00F42F0F">
        <w:tc>
          <w:tcPr>
            <w:tcW w:w="1668" w:type="pct"/>
            <w:tcBorders>
              <w:right w:val="nil"/>
            </w:tcBorders>
            <w:shd w:val="clear" w:color="auto" w:fill="auto"/>
            <w:noWrap/>
            <w:vAlign w:val="bottom"/>
            <w:hideMark/>
          </w:tcPr>
          <w:p w14:paraId="7A82F9CD" w14:textId="77777777" w:rsidR="00EA313E" w:rsidRPr="00F8373F" w:rsidRDefault="00EA313E" w:rsidP="00F42F0F">
            <w:pPr>
              <w:widowControl/>
              <w:autoSpaceDE/>
              <w:autoSpaceDN/>
              <w:rPr>
                <w:b/>
                <w:bCs/>
                <w:color w:val="000000"/>
              </w:rPr>
            </w:pPr>
            <w:r w:rsidRPr="00F8373F">
              <w:rPr>
                <w:b/>
                <w:bCs/>
                <w:color w:val="000000"/>
              </w:rPr>
              <w:t>N</w:t>
            </w:r>
          </w:p>
        </w:tc>
        <w:tc>
          <w:tcPr>
            <w:tcW w:w="856" w:type="pct"/>
            <w:tcBorders>
              <w:left w:val="nil"/>
              <w:right w:val="nil"/>
            </w:tcBorders>
            <w:shd w:val="clear" w:color="auto" w:fill="auto"/>
            <w:noWrap/>
            <w:vAlign w:val="bottom"/>
            <w:hideMark/>
          </w:tcPr>
          <w:p w14:paraId="0DB6335F" w14:textId="77777777" w:rsidR="00EA313E" w:rsidRPr="00F8373F" w:rsidRDefault="00EA313E" w:rsidP="00F42F0F">
            <w:pPr>
              <w:widowControl/>
              <w:tabs>
                <w:tab w:val="decimal" w:pos="196"/>
              </w:tabs>
              <w:autoSpaceDE/>
              <w:autoSpaceDN/>
              <w:ind w:right="480"/>
              <w:jc w:val="center"/>
              <w:rPr>
                <w:rFonts w:asciiTheme="majorBidi" w:hAnsiTheme="majorBidi" w:cstheme="majorBidi"/>
                <w:b/>
                <w:bCs/>
                <w:color w:val="000000"/>
                <w14:ligatures w14:val="none"/>
              </w:rPr>
            </w:pPr>
            <w:r w:rsidRPr="00F8373F">
              <w:rPr>
                <w:rFonts w:asciiTheme="majorBidi" w:hAnsiTheme="majorBidi" w:cstheme="majorBidi"/>
                <w:b/>
                <w:bCs/>
                <w:color w:val="000000"/>
                <w14:ligatures w14:val="none"/>
              </w:rPr>
              <w:t>4,258</w:t>
            </w:r>
          </w:p>
        </w:tc>
        <w:tc>
          <w:tcPr>
            <w:tcW w:w="763" w:type="pct"/>
            <w:tcBorders>
              <w:left w:val="nil"/>
              <w:right w:val="nil"/>
            </w:tcBorders>
            <w:shd w:val="clear" w:color="auto" w:fill="auto"/>
            <w:noWrap/>
            <w:vAlign w:val="bottom"/>
            <w:hideMark/>
          </w:tcPr>
          <w:p w14:paraId="21DD8DC5" w14:textId="77777777" w:rsidR="00EA313E" w:rsidRPr="00F8373F" w:rsidRDefault="00EA313E" w:rsidP="00F42F0F">
            <w:pPr>
              <w:widowControl/>
              <w:tabs>
                <w:tab w:val="decimal" w:pos="196"/>
                <w:tab w:val="decimal" w:pos="750"/>
              </w:tabs>
              <w:autoSpaceDE/>
              <w:autoSpaceDN/>
              <w:ind w:right="480"/>
              <w:jc w:val="center"/>
              <w:rPr>
                <w:rFonts w:asciiTheme="majorBidi" w:hAnsiTheme="majorBidi" w:cstheme="majorBidi"/>
                <w:b/>
                <w:bCs/>
                <w:color w:val="000000"/>
                <w14:ligatures w14:val="none"/>
              </w:rPr>
            </w:pPr>
            <w:r w:rsidRPr="00F8373F">
              <w:rPr>
                <w:rFonts w:asciiTheme="majorBidi" w:hAnsiTheme="majorBidi" w:cstheme="majorBidi"/>
                <w:b/>
                <w:bCs/>
                <w:color w:val="000000"/>
                <w14:ligatures w14:val="none"/>
              </w:rPr>
              <w:t>1,065</w:t>
            </w:r>
          </w:p>
        </w:tc>
        <w:tc>
          <w:tcPr>
            <w:tcW w:w="856" w:type="pct"/>
            <w:tcBorders>
              <w:left w:val="nil"/>
              <w:right w:val="nil"/>
            </w:tcBorders>
            <w:shd w:val="clear" w:color="auto" w:fill="auto"/>
            <w:noWrap/>
            <w:vAlign w:val="bottom"/>
            <w:hideMark/>
          </w:tcPr>
          <w:p w14:paraId="4B947244" w14:textId="77777777" w:rsidR="00EA313E" w:rsidRPr="00F8373F" w:rsidRDefault="00EA313E" w:rsidP="00F42F0F">
            <w:pPr>
              <w:widowControl/>
              <w:tabs>
                <w:tab w:val="decimal" w:pos="196"/>
              </w:tabs>
              <w:autoSpaceDE/>
              <w:autoSpaceDN/>
              <w:ind w:right="480"/>
              <w:jc w:val="center"/>
              <w:rPr>
                <w:rFonts w:asciiTheme="majorBidi" w:hAnsiTheme="majorBidi" w:cstheme="majorBidi"/>
                <w:b/>
                <w:bCs/>
                <w:color w:val="000000"/>
                <w14:ligatures w14:val="none"/>
              </w:rPr>
            </w:pPr>
            <w:r w:rsidRPr="00F8373F">
              <w:rPr>
                <w:rFonts w:asciiTheme="majorBidi" w:hAnsiTheme="majorBidi" w:cstheme="majorBidi"/>
                <w:b/>
                <w:bCs/>
                <w:color w:val="000000"/>
                <w14:ligatures w14:val="none"/>
              </w:rPr>
              <w:t>3,193</w:t>
            </w:r>
          </w:p>
        </w:tc>
        <w:tc>
          <w:tcPr>
            <w:tcW w:w="856" w:type="pct"/>
            <w:tcBorders>
              <w:left w:val="nil"/>
            </w:tcBorders>
            <w:shd w:val="clear" w:color="auto" w:fill="auto"/>
            <w:noWrap/>
            <w:vAlign w:val="bottom"/>
            <w:hideMark/>
          </w:tcPr>
          <w:p w14:paraId="18F08148" w14:textId="77777777" w:rsidR="00EA313E" w:rsidRPr="00F8373F" w:rsidRDefault="00EA313E" w:rsidP="00F42F0F">
            <w:pPr>
              <w:widowControl/>
              <w:tabs>
                <w:tab w:val="decimal" w:pos="196"/>
              </w:tabs>
              <w:autoSpaceDE/>
              <w:autoSpaceDN/>
              <w:ind w:left="-75" w:right="480"/>
              <w:jc w:val="center"/>
              <w:rPr>
                <w:rFonts w:asciiTheme="majorBidi" w:hAnsiTheme="majorBidi" w:cstheme="majorBidi"/>
                <w:b/>
                <w:bCs/>
                <w:color w:val="000000"/>
                <w14:ligatures w14:val="none"/>
              </w:rPr>
            </w:pPr>
            <w:r w:rsidRPr="00F8373F">
              <w:rPr>
                <w:rFonts w:asciiTheme="majorBidi" w:hAnsiTheme="majorBidi" w:cstheme="majorBidi"/>
                <w:b/>
                <w:bCs/>
                <w:color w:val="000000"/>
                <w14:ligatures w14:val="none"/>
              </w:rPr>
              <w:t>4,258</w:t>
            </w:r>
          </w:p>
        </w:tc>
      </w:tr>
      <w:tr w:rsidR="00EA313E" w:rsidRPr="005B472B" w14:paraId="68CFEC20" w14:textId="77777777" w:rsidTr="00F42F0F">
        <w:tc>
          <w:tcPr>
            <w:tcW w:w="1668" w:type="pct"/>
            <w:tcBorders>
              <w:top w:val="double" w:sz="4" w:space="0" w:color="auto"/>
              <w:bottom w:val="double" w:sz="4" w:space="0" w:color="auto"/>
              <w:right w:val="nil"/>
            </w:tcBorders>
            <w:shd w:val="clear" w:color="auto" w:fill="auto"/>
            <w:noWrap/>
            <w:vAlign w:val="bottom"/>
          </w:tcPr>
          <w:p w14:paraId="5621FE6C" w14:textId="77777777" w:rsidR="00EA313E" w:rsidRPr="00270209" w:rsidRDefault="00EA313E" w:rsidP="00F42F0F">
            <w:pPr>
              <w:widowControl/>
              <w:autoSpaceDE/>
              <w:autoSpaceDN/>
              <w:rPr>
                <w:b/>
                <w:bCs/>
                <w:color w:val="000000"/>
              </w:rPr>
            </w:pPr>
            <w:r w:rsidRPr="00137E80">
              <w:rPr>
                <w:b/>
                <w:bCs/>
                <w14:ligatures w14:val="none"/>
              </w:rPr>
              <w:t>Offer characteristics</w:t>
            </w:r>
          </w:p>
        </w:tc>
        <w:tc>
          <w:tcPr>
            <w:tcW w:w="856" w:type="pct"/>
            <w:tcBorders>
              <w:top w:val="double" w:sz="4" w:space="0" w:color="auto"/>
              <w:left w:val="nil"/>
              <w:bottom w:val="double" w:sz="4" w:space="0" w:color="auto"/>
              <w:right w:val="nil"/>
            </w:tcBorders>
            <w:shd w:val="clear" w:color="auto" w:fill="auto"/>
            <w:noWrap/>
            <w:vAlign w:val="bottom"/>
          </w:tcPr>
          <w:p w14:paraId="712A5CC8" w14:textId="77777777" w:rsidR="00EA313E" w:rsidRPr="005B472B" w:rsidRDefault="00EA313E" w:rsidP="00F42F0F">
            <w:pPr>
              <w:widowControl/>
              <w:autoSpaceDE/>
              <w:autoSpaceDN/>
              <w:rPr>
                <w:color w:val="000000"/>
              </w:rPr>
            </w:pPr>
          </w:p>
        </w:tc>
        <w:tc>
          <w:tcPr>
            <w:tcW w:w="763" w:type="pct"/>
            <w:tcBorders>
              <w:top w:val="double" w:sz="4" w:space="0" w:color="auto"/>
              <w:left w:val="nil"/>
              <w:bottom w:val="double" w:sz="4" w:space="0" w:color="auto"/>
              <w:right w:val="nil"/>
            </w:tcBorders>
            <w:shd w:val="clear" w:color="auto" w:fill="auto"/>
            <w:noWrap/>
            <w:vAlign w:val="bottom"/>
          </w:tcPr>
          <w:p w14:paraId="013665E9" w14:textId="77777777" w:rsidR="00EA313E" w:rsidRPr="005B472B" w:rsidRDefault="00EA313E" w:rsidP="00F42F0F">
            <w:pPr>
              <w:widowControl/>
              <w:autoSpaceDE/>
              <w:autoSpaceDN/>
              <w:rPr>
                <w:color w:val="000000"/>
              </w:rPr>
            </w:pPr>
          </w:p>
        </w:tc>
        <w:tc>
          <w:tcPr>
            <w:tcW w:w="856" w:type="pct"/>
            <w:tcBorders>
              <w:top w:val="double" w:sz="4" w:space="0" w:color="auto"/>
              <w:left w:val="nil"/>
              <w:bottom w:val="double" w:sz="4" w:space="0" w:color="auto"/>
              <w:right w:val="nil"/>
            </w:tcBorders>
            <w:shd w:val="clear" w:color="auto" w:fill="auto"/>
            <w:noWrap/>
            <w:vAlign w:val="bottom"/>
          </w:tcPr>
          <w:p w14:paraId="1EF05BDC" w14:textId="77777777" w:rsidR="00EA313E" w:rsidRPr="005B472B" w:rsidRDefault="00EA313E" w:rsidP="00F42F0F">
            <w:pPr>
              <w:widowControl/>
              <w:autoSpaceDE/>
              <w:autoSpaceDN/>
              <w:rPr>
                <w:color w:val="000000"/>
              </w:rPr>
            </w:pPr>
          </w:p>
        </w:tc>
        <w:tc>
          <w:tcPr>
            <w:tcW w:w="856" w:type="pct"/>
            <w:tcBorders>
              <w:top w:val="double" w:sz="4" w:space="0" w:color="auto"/>
              <w:left w:val="nil"/>
              <w:bottom w:val="double" w:sz="4" w:space="0" w:color="auto"/>
            </w:tcBorders>
            <w:shd w:val="clear" w:color="auto" w:fill="auto"/>
            <w:noWrap/>
            <w:vAlign w:val="bottom"/>
          </w:tcPr>
          <w:p w14:paraId="0600D3F4" w14:textId="77777777" w:rsidR="00EA313E" w:rsidRPr="005B472B" w:rsidRDefault="00EA313E" w:rsidP="00F42F0F">
            <w:pPr>
              <w:widowControl/>
              <w:autoSpaceDE/>
              <w:autoSpaceDN/>
              <w:rPr>
                <w:color w:val="000000"/>
              </w:rPr>
            </w:pPr>
          </w:p>
        </w:tc>
      </w:tr>
      <w:tr w:rsidR="00EA313E" w:rsidRPr="00336FBC" w14:paraId="4E505E56" w14:textId="77777777" w:rsidTr="00F42F0F">
        <w:tc>
          <w:tcPr>
            <w:tcW w:w="1668" w:type="pct"/>
            <w:tcBorders>
              <w:right w:val="nil"/>
            </w:tcBorders>
            <w:shd w:val="clear" w:color="auto" w:fill="auto"/>
            <w:noWrap/>
            <w:vAlign w:val="center"/>
            <w:hideMark/>
          </w:tcPr>
          <w:p w14:paraId="0BA27DD4" w14:textId="77777777" w:rsidR="00EA313E" w:rsidRPr="00EB288C" w:rsidRDefault="00EA313E" w:rsidP="00F42F0F">
            <w:pPr>
              <w:widowControl/>
              <w:autoSpaceDE/>
              <w:autoSpaceDN/>
              <w:rPr>
                <w:color w:val="000000"/>
              </w:rPr>
            </w:pPr>
            <w:r>
              <w:rPr>
                <w:rFonts w:asciiTheme="majorBidi" w:hAnsiTheme="majorBidi" w:cstheme="majorBidi"/>
                <w:sz w:val="24"/>
                <w:szCs w:val="24"/>
              </w:rPr>
              <w:t>Y</w:t>
            </w:r>
            <w:r w:rsidRPr="008B05A0">
              <w:rPr>
                <w:rFonts w:asciiTheme="majorBidi" w:hAnsiTheme="majorBidi" w:cstheme="majorBidi"/>
                <w:sz w:val="24"/>
                <w:szCs w:val="24"/>
              </w:rPr>
              <w:t>ield</w:t>
            </w:r>
            <w:r>
              <w:rPr>
                <w:color w:val="000000"/>
              </w:rPr>
              <w:t xml:space="preserve"> Spread</w:t>
            </w:r>
          </w:p>
        </w:tc>
        <w:tc>
          <w:tcPr>
            <w:tcW w:w="856" w:type="pct"/>
            <w:tcBorders>
              <w:left w:val="nil"/>
              <w:right w:val="nil"/>
            </w:tcBorders>
            <w:shd w:val="clear" w:color="auto" w:fill="auto"/>
            <w:noWrap/>
            <w:vAlign w:val="bottom"/>
            <w:hideMark/>
          </w:tcPr>
          <w:p w14:paraId="73C1E2EA"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0.447</w:t>
            </w:r>
          </w:p>
        </w:tc>
        <w:tc>
          <w:tcPr>
            <w:tcW w:w="763" w:type="pct"/>
            <w:tcBorders>
              <w:left w:val="nil"/>
              <w:right w:val="nil"/>
            </w:tcBorders>
            <w:shd w:val="clear" w:color="auto" w:fill="auto"/>
            <w:noWrap/>
            <w:vAlign w:val="bottom"/>
            <w:hideMark/>
          </w:tcPr>
          <w:p w14:paraId="702B0DFC"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0.831</w:t>
            </w:r>
          </w:p>
        </w:tc>
        <w:tc>
          <w:tcPr>
            <w:tcW w:w="856" w:type="pct"/>
            <w:tcBorders>
              <w:left w:val="nil"/>
              <w:right w:val="nil"/>
            </w:tcBorders>
            <w:shd w:val="clear" w:color="auto" w:fill="auto"/>
            <w:noWrap/>
            <w:vAlign w:val="bottom"/>
            <w:hideMark/>
          </w:tcPr>
          <w:p w14:paraId="3EC47ACD"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0.365</w:t>
            </w:r>
          </w:p>
        </w:tc>
        <w:tc>
          <w:tcPr>
            <w:tcW w:w="856" w:type="pct"/>
            <w:tcBorders>
              <w:left w:val="nil"/>
            </w:tcBorders>
            <w:shd w:val="clear" w:color="auto" w:fill="auto"/>
            <w:noWrap/>
            <w:vAlign w:val="bottom"/>
            <w:hideMark/>
          </w:tcPr>
          <w:p w14:paraId="12A7E6DD"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-0.467**</w:t>
            </w:r>
          </w:p>
        </w:tc>
      </w:tr>
      <w:tr w:rsidR="00EA313E" w:rsidRPr="00336FBC" w14:paraId="27DDEF81" w14:textId="77777777" w:rsidTr="00F42F0F">
        <w:tc>
          <w:tcPr>
            <w:tcW w:w="1668" w:type="pct"/>
            <w:tcBorders>
              <w:right w:val="nil"/>
            </w:tcBorders>
            <w:shd w:val="clear" w:color="auto" w:fill="auto"/>
            <w:noWrap/>
            <w:vAlign w:val="center"/>
            <w:hideMark/>
          </w:tcPr>
          <w:p w14:paraId="7C3FEFF7" w14:textId="77777777" w:rsidR="00EA313E" w:rsidRPr="00EB288C" w:rsidRDefault="00EA313E" w:rsidP="00F42F0F">
            <w:pPr>
              <w:widowControl/>
              <w:autoSpaceDE/>
              <w:autoSpaceDN/>
              <w:rPr>
                <w:color w:val="000000"/>
              </w:rPr>
            </w:pPr>
            <w:r>
              <w:rPr>
                <w:color w:val="000000"/>
              </w:rPr>
              <w:t xml:space="preserve">Moody's Rating </w:t>
            </w:r>
          </w:p>
        </w:tc>
        <w:tc>
          <w:tcPr>
            <w:tcW w:w="856" w:type="pct"/>
            <w:tcBorders>
              <w:left w:val="nil"/>
              <w:right w:val="nil"/>
            </w:tcBorders>
            <w:shd w:val="clear" w:color="auto" w:fill="auto"/>
            <w:noWrap/>
            <w:vAlign w:val="bottom"/>
            <w:hideMark/>
          </w:tcPr>
          <w:p w14:paraId="3BE5D80F"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AF7612">
              <w:rPr>
                <w:rFonts w:asciiTheme="majorBidi" w:hAnsiTheme="majorBidi" w:cstheme="majorBidi"/>
                <w:color w:val="000000"/>
                <w14:ligatures w14:val="none"/>
              </w:rPr>
              <w:t>10.991</w:t>
            </w:r>
          </w:p>
        </w:tc>
        <w:tc>
          <w:tcPr>
            <w:tcW w:w="763" w:type="pct"/>
            <w:tcBorders>
              <w:left w:val="nil"/>
              <w:right w:val="nil"/>
            </w:tcBorders>
            <w:shd w:val="clear" w:color="auto" w:fill="auto"/>
            <w:noWrap/>
            <w:vAlign w:val="bottom"/>
            <w:hideMark/>
          </w:tcPr>
          <w:p w14:paraId="7B9E7EB4"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AF7612">
              <w:rPr>
                <w:rFonts w:asciiTheme="majorBidi" w:hAnsiTheme="majorBidi" w:cstheme="majorBidi"/>
                <w:color w:val="000000"/>
                <w14:ligatures w14:val="none"/>
              </w:rPr>
              <w:t>9.292</w:t>
            </w:r>
          </w:p>
        </w:tc>
        <w:tc>
          <w:tcPr>
            <w:tcW w:w="856" w:type="pct"/>
            <w:tcBorders>
              <w:left w:val="nil"/>
              <w:right w:val="nil"/>
            </w:tcBorders>
            <w:shd w:val="clear" w:color="auto" w:fill="auto"/>
            <w:noWrap/>
            <w:vAlign w:val="bottom"/>
            <w:hideMark/>
          </w:tcPr>
          <w:p w14:paraId="0A6FB5A2"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AF7612">
              <w:rPr>
                <w:rFonts w:asciiTheme="majorBidi" w:hAnsiTheme="majorBidi" w:cstheme="majorBidi"/>
                <w:color w:val="000000"/>
                <w14:ligatures w14:val="none"/>
              </w:rPr>
              <w:t>11.352</w:t>
            </w:r>
          </w:p>
        </w:tc>
        <w:tc>
          <w:tcPr>
            <w:tcW w:w="856" w:type="pct"/>
            <w:tcBorders>
              <w:left w:val="nil"/>
            </w:tcBorders>
            <w:shd w:val="clear" w:color="auto" w:fill="auto"/>
            <w:noWrap/>
            <w:vAlign w:val="bottom"/>
            <w:hideMark/>
          </w:tcPr>
          <w:p w14:paraId="7A97AD3D"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AF7612">
              <w:rPr>
                <w:rFonts w:asciiTheme="majorBidi" w:hAnsiTheme="majorBidi" w:cstheme="majorBidi"/>
                <w:color w:val="000000"/>
                <w14:ligatures w14:val="none"/>
              </w:rPr>
              <w:t>5.686**</w:t>
            </w:r>
          </w:p>
        </w:tc>
      </w:tr>
      <w:tr w:rsidR="00EA313E" w:rsidRPr="00336FBC" w14:paraId="4A7AFF91" w14:textId="77777777" w:rsidTr="00F42F0F">
        <w:tc>
          <w:tcPr>
            <w:tcW w:w="1668" w:type="pct"/>
            <w:tcBorders>
              <w:top w:val="double" w:sz="4" w:space="0" w:color="auto"/>
              <w:right w:val="nil"/>
            </w:tcBorders>
            <w:shd w:val="clear" w:color="auto" w:fill="auto"/>
            <w:noWrap/>
            <w:vAlign w:val="center"/>
            <w:hideMark/>
          </w:tcPr>
          <w:p w14:paraId="0839E289" w14:textId="77777777" w:rsidR="00EA313E" w:rsidRPr="00EB288C" w:rsidRDefault="00EA313E" w:rsidP="00F42F0F">
            <w:pPr>
              <w:widowControl/>
              <w:autoSpaceDE/>
              <w:autoSpaceDN/>
              <w:rPr>
                <w:color w:val="000000"/>
              </w:rPr>
            </w:pPr>
            <w:r>
              <w:rPr>
                <w:color w:val="000000"/>
              </w:rPr>
              <w:t>CAR[-1,+1]</w:t>
            </w:r>
          </w:p>
        </w:tc>
        <w:tc>
          <w:tcPr>
            <w:tcW w:w="856" w:type="pct"/>
            <w:tcBorders>
              <w:top w:val="double" w:sz="4" w:space="0" w:color="auto"/>
              <w:left w:val="nil"/>
              <w:right w:val="nil"/>
            </w:tcBorders>
            <w:shd w:val="clear" w:color="auto" w:fill="auto"/>
            <w:noWrap/>
            <w:vAlign w:val="bottom"/>
            <w:hideMark/>
          </w:tcPr>
          <w:p w14:paraId="2FB45DDD"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0.658**</w:t>
            </w:r>
          </w:p>
        </w:tc>
        <w:tc>
          <w:tcPr>
            <w:tcW w:w="763" w:type="pct"/>
            <w:tcBorders>
              <w:top w:val="double" w:sz="4" w:space="0" w:color="auto"/>
              <w:left w:val="nil"/>
              <w:right w:val="nil"/>
            </w:tcBorders>
            <w:shd w:val="clear" w:color="auto" w:fill="auto"/>
            <w:noWrap/>
            <w:vAlign w:val="bottom"/>
            <w:hideMark/>
          </w:tcPr>
          <w:p w14:paraId="3581B4B0"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-0.207</w:t>
            </w:r>
          </w:p>
        </w:tc>
        <w:tc>
          <w:tcPr>
            <w:tcW w:w="856" w:type="pct"/>
            <w:tcBorders>
              <w:top w:val="double" w:sz="4" w:space="0" w:color="auto"/>
              <w:left w:val="nil"/>
              <w:right w:val="nil"/>
            </w:tcBorders>
            <w:shd w:val="clear" w:color="auto" w:fill="auto"/>
            <w:noWrap/>
            <w:vAlign w:val="bottom"/>
            <w:hideMark/>
          </w:tcPr>
          <w:p w14:paraId="4BFD8FC4"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0.842**</w:t>
            </w:r>
          </w:p>
        </w:tc>
        <w:tc>
          <w:tcPr>
            <w:tcW w:w="856" w:type="pct"/>
            <w:tcBorders>
              <w:top w:val="double" w:sz="4" w:space="0" w:color="auto"/>
              <w:left w:val="nil"/>
            </w:tcBorders>
            <w:shd w:val="clear" w:color="auto" w:fill="auto"/>
            <w:noWrap/>
            <w:vAlign w:val="bottom"/>
            <w:hideMark/>
          </w:tcPr>
          <w:p w14:paraId="59812526"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0.694**</w:t>
            </w:r>
          </w:p>
        </w:tc>
      </w:tr>
      <w:tr w:rsidR="00EA313E" w:rsidRPr="00700FC9" w14:paraId="5CFE0A62" w14:textId="77777777" w:rsidTr="00F42F0F">
        <w:tc>
          <w:tcPr>
            <w:tcW w:w="1668" w:type="pct"/>
            <w:tcBorders>
              <w:right w:val="nil"/>
            </w:tcBorders>
            <w:shd w:val="clear" w:color="auto" w:fill="auto"/>
            <w:noWrap/>
            <w:vAlign w:val="center"/>
            <w:hideMark/>
          </w:tcPr>
          <w:p w14:paraId="6BAB3291" w14:textId="77777777" w:rsidR="00EA313E" w:rsidRPr="00EB288C" w:rsidRDefault="00EA313E" w:rsidP="00F42F0F">
            <w:pPr>
              <w:widowControl/>
              <w:autoSpaceDE/>
              <w:autoSpaceDN/>
              <w:rPr>
                <w:color w:val="000000"/>
              </w:rPr>
            </w:pPr>
            <w:r>
              <w:rPr>
                <w:color w:val="000000"/>
              </w:rPr>
              <w:t>Maturity</w:t>
            </w:r>
          </w:p>
        </w:tc>
        <w:tc>
          <w:tcPr>
            <w:tcW w:w="856" w:type="pct"/>
            <w:tcBorders>
              <w:left w:val="nil"/>
              <w:right w:val="nil"/>
            </w:tcBorders>
            <w:shd w:val="clear" w:color="auto" w:fill="auto"/>
            <w:noWrap/>
            <w:vAlign w:val="bottom"/>
            <w:hideMark/>
          </w:tcPr>
          <w:p w14:paraId="21BFDD2A"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2.222</w:t>
            </w:r>
          </w:p>
        </w:tc>
        <w:tc>
          <w:tcPr>
            <w:tcW w:w="763" w:type="pct"/>
            <w:tcBorders>
              <w:left w:val="nil"/>
              <w:right w:val="nil"/>
            </w:tcBorders>
            <w:shd w:val="clear" w:color="auto" w:fill="auto"/>
            <w:noWrap/>
            <w:vAlign w:val="bottom"/>
            <w:hideMark/>
          </w:tcPr>
          <w:p w14:paraId="58944ABB"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2.156</w:t>
            </w:r>
          </w:p>
        </w:tc>
        <w:tc>
          <w:tcPr>
            <w:tcW w:w="856" w:type="pct"/>
            <w:tcBorders>
              <w:left w:val="nil"/>
              <w:right w:val="nil"/>
            </w:tcBorders>
            <w:shd w:val="clear" w:color="auto" w:fill="auto"/>
            <w:noWrap/>
            <w:vAlign w:val="bottom"/>
            <w:hideMark/>
          </w:tcPr>
          <w:p w14:paraId="4C03C3CC"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2.236</w:t>
            </w:r>
          </w:p>
        </w:tc>
        <w:tc>
          <w:tcPr>
            <w:tcW w:w="856" w:type="pct"/>
            <w:tcBorders>
              <w:left w:val="nil"/>
            </w:tcBorders>
            <w:shd w:val="clear" w:color="auto" w:fill="auto"/>
            <w:noWrap/>
            <w:vAlign w:val="bottom"/>
            <w:hideMark/>
          </w:tcPr>
          <w:p w14:paraId="477B371C" w14:textId="77777777" w:rsidR="00EA313E" w:rsidRPr="00EB288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0.079</w:t>
            </w:r>
            <w:r>
              <w:rPr>
                <w:rFonts w:asciiTheme="majorBidi" w:hAnsiTheme="majorBidi" w:cstheme="majorBidi"/>
                <w:color w:val="000000"/>
                <w14:ligatures w14:val="none"/>
              </w:rPr>
              <w:t>*</w:t>
            </w:r>
          </w:p>
        </w:tc>
      </w:tr>
      <w:tr w:rsidR="00EA313E" w:rsidRPr="00700FC9" w14:paraId="5188EE7D" w14:textId="77777777" w:rsidTr="00F42F0F">
        <w:tc>
          <w:tcPr>
            <w:tcW w:w="1668" w:type="pct"/>
            <w:tcBorders>
              <w:right w:val="nil"/>
            </w:tcBorders>
            <w:shd w:val="clear" w:color="auto" w:fill="auto"/>
            <w:noWrap/>
            <w:vAlign w:val="bottom"/>
          </w:tcPr>
          <w:p w14:paraId="18E129F2" w14:textId="77777777" w:rsidR="00EA313E" w:rsidRPr="00EB288C" w:rsidRDefault="00EA313E" w:rsidP="00F42F0F">
            <w:pPr>
              <w:widowControl/>
              <w:autoSpaceDE/>
              <w:autoSpaceDN/>
              <w:rPr>
                <w:color w:val="000000"/>
              </w:rPr>
            </w:pPr>
            <w:r w:rsidRPr="00EB288C">
              <w:rPr>
                <w:color w:val="000000"/>
              </w:rPr>
              <w:t>Duration</w:t>
            </w:r>
          </w:p>
        </w:tc>
        <w:tc>
          <w:tcPr>
            <w:tcW w:w="856" w:type="pct"/>
            <w:tcBorders>
              <w:left w:val="nil"/>
              <w:right w:val="nil"/>
            </w:tcBorders>
            <w:shd w:val="clear" w:color="auto" w:fill="auto"/>
            <w:noWrap/>
            <w:vAlign w:val="bottom"/>
          </w:tcPr>
          <w:p w14:paraId="1112E250"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7.906</w:t>
            </w:r>
          </w:p>
        </w:tc>
        <w:tc>
          <w:tcPr>
            <w:tcW w:w="763" w:type="pct"/>
            <w:tcBorders>
              <w:left w:val="nil"/>
              <w:right w:val="nil"/>
            </w:tcBorders>
            <w:shd w:val="clear" w:color="auto" w:fill="auto"/>
            <w:noWrap/>
            <w:vAlign w:val="bottom"/>
          </w:tcPr>
          <w:p w14:paraId="1C80CFC9"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7.230</w:t>
            </w:r>
          </w:p>
        </w:tc>
        <w:tc>
          <w:tcPr>
            <w:tcW w:w="856" w:type="pct"/>
            <w:tcBorders>
              <w:left w:val="nil"/>
              <w:right w:val="nil"/>
            </w:tcBorders>
            <w:shd w:val="clear" w:color="auto" w:fill="auto"/>
            <w:noWrap/>
            <w:vAlign w:val="bottom"/>
          </w:tcPr>
          <w:p w14:paraId="14B018C1"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8.050</w:t>
            </w:r>
          </w:p>
        </w:tc>
        <w:tc>
          <w:tcPr>
            <w:tcW w:w="856" w:type="pct"/>
            <w:tcBorders>
              <w:left w:val="nil"/>
            </w:tcBorders>
            <w:shd w:val="clear" w:color="auto" w:fill="auto"/>
            <w:noWrap/>
            <w:vAlign w:val="bottom"/>
          </w:tcPr>
          <w:p w14:paraId="42B26992"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0.82</w:t>
            </w:r>
            <w:r>
              <w:rPr>
                <w:rFonts w:asciiTheme="majorBidi" w:hAnsiTheme="majorBidi" w:cstheme="majorBidi"/>
                <w:color w:val="000000"/>
                <w14:ligatures w14:val="none"/>
              </w:rPr>
              <w:t>0</w:t>
            </w:r>
            <w:r w:rsidRPr="00EB288C">
              <w:rPr>
                <w:rFonts w:asciiTheme="majorBidi" w:hAnsiTheme="majorBidi" w:cstheme="majorBidi"/>
                <w:color w:val="000000"/>
                <w14:ligatures w14:val="none"/>
              </w:rPr>
              <w:t>**</w:t>
            </w:r>
          </w:p>
        </w:tc>
      </w:tr>
      <w:tr w:rsidR="00EA313E" w:rsidRPr="00700FC9" w14:paraId="34D0D314" w14:textId="77777777" w:rsidTr="00F42F0F">
        <w:tc>
          <w:tcPr>
            <w:tcW w:w="1668" w:type="pct"/>
            <w:tcBorders>
              <w:right w:val="nil"/>
            </w:tcBorders>
            <w:shd w:val="clear" w:color="auto" w:fill="auto"/>
            <w:noWrap/>
            <w:vAlign w:val="center"/>
          </w:tcPr>
          <w:p w14:paraId="0D321332" w14:textId="77777777" w:rsidR="00EA313E" w:rsidRPr="00EB288C" w:rsidRDefault="00EA313E" w:rsidP="00F42F0F">
            <w:pPr>
              <w:widowControl/>
              <w:autoSpaceDE/>
              <w:autoSpaceDN/>
              <w:rPr>
                <w:color w:val="000000"/>
              </w:rPr>
            </w:pPr>
            <w:r>
              <w:rPr>
                <w:color w:val="000000"/>
              </w:rPr>
              <w:t>Issue Relative Size</w:t>
            </w:r>
          </w:p>
        </w:tc>
        <w:tc>
          <w:tcPr>
            <w:tcW w:w="856" w:type="pct"/>
            <w:tcBorders>
              <w:left w:val="nil"/>
              <w:right w:val="nil"/>
            </w:tcBorders>
            <w:shd w:val="clear" w:color="auto" w:fill="auto"/>
            <w:noWrap/>
            <w:vAlign w:val="bottom"/>
          </w:tcPr>
          <w:p w14:paraId="55171A36"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0.046</w:t>
            </w:r>
          </w:p>
        </w:tc>
        <w:tc>
          <w:tcPr>
            <w:tcW w:w="763" w:type="pct"/>
            <w:tcBorders>
              <w:left w:val="nil"/>
              <w:right w:val="nil"/>
            </w:tcBorders>
            <w:shd w:val="clear" w:color="auto" w:fill="auto"/>
            <w:noWrap/>
            <w:vAlign w:val="bottom"/>
          </w:tcPr>
          <w:p w14:paraId="72557A88"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0.096</w:t>
            </w:r>
          </w:p>
        </w:tc>
        <w:tc>
          <w:tcPr>
            <w:tcW w:w="856" w:type="pct"/>
            <w:tcBorders>
              <w:left w:val="nil"/>
              <w:right w:val="nil"/>
            </w:tcBorders>
            <w:shd w:val="clear" w:color="auto" w:fill="auto"/>
            <w:noWrap/>
            <w:vAlign w:val="bottom"/>
          </w:tcPr>
          <w:p w14:paraId="544AA958"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0.036</w:t>
            </w:r>
          </w:p>
        </w:tc>
        <w:tc>
          <w:tcPr>
            <w:tcW w:w="856" w:type="pct"/>
            <w:tcBorders>
              <w:left w:val="nil"/>
            </w:tcBorders>
            <w:shd w:val="clear" w:color="auto" w:fill="auto"/>
            <w:noWrap/>
            <w:vAlign w:val="bottom"/>
          </w:tcPr>
          <w:p w14:paraId="4F4F6B36" w14:textId="77777777" w:rsidR="00EA313E" w:rsidRPr="00336FBC" w:rsidRDefault="00EA313E" w:rsidP="00F42F0F">
            <w:pPr>
              <w:widowControl/>
              <w:tabs>
                <w:tab w:val="decimal" w:pos="316"/>
              </w:tabs>
              <w:autoSpaceDE/>
              <w:autoSpaceDN/>
              <w:ind w:left="-75" w:right="245"/>
              <w:rPr>
                <w:rFonts w:asciiTheme="majorBidi" w:hAnsiTheme="majorBidi" w:cstheme="majorBidi"/>
                <w:color w:val="000000"/>
                <w14:ligatures w14:val="none"/>
              </w:rPr>
            </w:pPr>
            <w:r w:rsidRPr="00EB288C">
              <w:rPr>
                <w:rFonts w:asciiTheme="majorBidi" w:hAnsiTheme="majorBidi" w:cstheme="majorBidi"/>
                <w:color w:val="000000"/>
                <w14:ligatures w14:val="none"/>
              </w:rPr>
              <w:t>-0.061**</w:t>
            </w:r>
          </w:p>
        </w:tc>
      </w:tr>
      <w:tr w:rsidR="00EA313E" w:rsidRPr="00237305" w14:paraId="5A35B927" w14:textId="77777777" w:rsidTr="00F42F0F">
        <w:tc>
          <w:tcPr>
            <w:tcW w:w="1668" w:type="pct"/>
            <w:tcBorders>
              <w:right w:val="nil"/>
            </w:tcBorders>
            <w:shd w:val="clear" w:color="auto" w:fill="auto"/>
            <w:noWrap/>
            <w:vAlign w:val="bottom"/>
          </w:tcPr>
          <w:p w14:paraId="4A3E85A6" w14:textId="77777777" w:rsidR="00EA313E" w:rsidRPr="00237305" w:rsidRDefault="00EA313E" w:rsidP="00F42F0F">
            <w:pPr>
              <w:widowControl/>
              <w:autoSpaceDE/>
              <w:autoSpaceDN/>
              <w:rPr>
                <w:b/>
                <w:bCs/>
                <w:color w:val="000000"/>
              </w:rPr>
            </w:pPr>
            <w:r w:rsidRPr="00237305">
              <w:rPr>
                <w:b/>
                <w:bCs/>
                <w:color w:val="000000"/>
              </w:rPr>
              <w:t>N</w:t>
            </w:r>
          </w:p>
        </w:tc>
        <w:tc>
          <w:tcPr>
            <w:tcW w:w="856" w:type="pct"/>
            <w:tcBorders>
              <w:left w:val="nil"/>
              <w:right w:val="nil"/>
            </w:tcBorders>
            <w:shd w:val="clear" w:color="auto" w:fill="auto"/>
            <w:noWrap/>
            <w:vAlign w:val="bottom"/>
          </w:tcPr>
          <w:p w14:paraId="5B9A13E9" w14:textId="77777777" w:rsidR="00EA313E" w:rsidRPr="00237305" w:rsidRDefault="00EA313E" w:rsidP="00F42F0F">
            <w:pPr>
              <w:widowControl/>
              <w:tabs>
                <w:tab w:val="decimal" w:pos="196"/>
              </w:tabs>
              <w:autoSpaceDE/>
              <w:autoSpaceDN/>
              <w:ind w:right="480"/>
              <w:jc w:val="center"/>
              <w:rPr>
                <w:rFonts w:asciiTheme="majorBidi" w:hAnsiTheme="majorBidi" w:cstheme="majorBidi"/>
                <w:b/>
                <w:bCs/>
                <w:color w:val="000000"/>
                <w14:ligatures w14:val="none"/>
              </w:rPr>
            </w:pPr>
            <w:r w:rsidRPr="00237305">
              <w:rPr>
                <w:rFonts w:asciiTheme="majorBidi" w:hAnsiTheme="majorBidi" w:cstheme="majorBidi"/>
                <w:b/>
                <w:bCs/>
                <w:color w:val="000000"/>
                <w14:ligatures w14:val="none"/>
              </w:rPr>
              <w:t>8,453</w:t>
            </w:r>
          </w:p>
        </w:tc>
        <w:tc>
          <w:tcPr>
            <w:tcW w:w="763" w:type="pct"/>
            <w:tcBorders>
              <w:left w:val="nil"/>
              <w:right w:val="nil"/>
            </w:tcBorders>
            <w:shd w:val="clear" w:color="auto" w:fill="auto"/>
            <w:noWrap/>
            <w:vAlign w:val="bottom"/>
          </w:tcPr>
          <w:p w14:paraId="40FAACFB" w14:textId="77777777" w:rsidR="00EA313E" w:rsidRPr="00237305" w:rsidRDefault="00EA313E" w:rsidP="00F42F0F">
            <w:pPr>
              <w:widowControl/>
              <w:tabs>
                <w:tab w:val="decimal" w:pos="196"/>
              </w:tabs>
              <w:autoSpaceDE/>
              <w:autoSpaceDN/>
              <w:ind w:right="480"/>
              <w:jc w:val="center"/>
              <w:rPr>
                <w:rFonts w:asciiTheme="majorBidi" w:hAnsiTheme="majorBidi" w:cstheme="majorBidi"/>
                <w:b/>
                <w:bCs/>
                <w:color w:val="000000"/>
                <w14:ligatures w14:val="none"/>
              </w:rPr>
            </w:pPr>
            <w:r w:rsidRPr="00237305">
              <w:rPr>
                <w:rFonts w:asciiTheme="majorBidi" w:hAnsiTheme="majorBidi" w:cstheme="majorBidi"/>
                <w:b/>
                <w:bCs/>
                <w:color w:val="000000"/>
                <w14:ligatures w14:val="none"/>
              </w:rPr>
              <w:t xml:space="preserve">  1,483 </w:t>
            </w:r>
          </w:p>
        </w:tc>
        <w:tc>
          <w:tcPr>
            <w:tcW w:w="856" w:type="pct"/>
            <w:tcBorders>
              <w:left w:val="nil"/>
              <w:right w:val="nil"/>
            </w:tcBorders>
            <w:shd w:val="clear" w:color="auto" w:fill="auto"/>
            <w:noWrap/>
            <w:vAlign w:val="bottom"/>
          </w:tcPr>
          <w:p w14:paraId="6BCB0321" w14:textId="77777777" w:rsidR="00EA313E" w:rsidRPr="00237305" w:rsidRDefault="00EA313E" w:rsidP="00F42F0F">
            <w:pPr>
              <w:widowControl/>
              <w:tabs>
                <w:tab w:val="decimal" w:pos="196"/>
              </w:tabs>
              <w:autoSpaceDE/>
              <w:autoSpaceDN/>
              <w:ind w:right="480"/>
              <w:jc w:val="center"/>
              <w:rPr>
                <w:rFonts w:asciiTheme="majorBidi" w:hAnsiTheme="majorBidi" w:cstheme="majorBidi"/>
                <w:b/>
                <w:bCs/>
                <w:color w:val="000000"/>
                <w14:ligatures w14:val="none"/>
              </w:rPr>
            </w:pPr>
            <w:r w:rsidRPr="00237305">
              <w:rPr>
                <w:rFonts w:asciiTheme="majorBidi" w:hAnsiTheme="majorBidi" w:cstheme="majorBidi"/>
                <w:b/>
                <w:bCs/>
                <w:color w:val="000000"/>
                <w14:ligatures w14:val="none"/>
              </w:rPr>
              <w:t xml:space="preserve">6,970 </w:t>
            </w:r>
          </w:p>
        </w:tc>
        <w:tc>
          <w:tcPr>
            <w:tcW w:w="856" w:type="pct"/>
            <w:tcBorders>
              <w:left w:val="nil"/>
            </w:tcBorders>
            <w:shd w:val="clear" w:color="auto" w:fill="auto"/>
            <w:noWrap/>
            <w:vAlign w:val="bottom"/>
          </w:tcPr>
          <w:p w14:paraId="6644030B" w14:textId="77777777" w:rsidR="00EA313E" w:rsidRPr="00237305" w:rsidRDefault="00EA313E" w:rsidP="00F42F0F">
            <w:pPr>
              <w:widowControl/>
              <w:tabs>
                <w:tab w:val="decimal" w:pos="196"/>
              </w:tabs>
              <w:autoSpaceDE/>
              <w:autoSpaceDN/>
              <w:ind w:right="480"/>
              <w:jc w:val="center"/>
              <w:rPr>
                <w:rFonts w:asciiTheme="majorBidi" w:hAnsiTheme="majorBidi" w:cstheme="majorBidi"/>
                <w:b/>
                <w:bCs/>
                <w:color w:val="000000"/>
                <w14:ligatures w14:val="none"/>
              </w:rPr>
            </w:pPr>
            <w:r w:rsidRPr="00237305">
              <w:rPr>
                <w:rFonts w:asciiTheme="majorBidi" w:hAnsiTheme="majorBidi" w:cstheme="majorBidi"/>
                <w:b/>
                <w:bCs/>
                <w:color w:val="000000"/>
                <w14:ligatures w14:val="none"/>
              </w:rPr>
              <w:t xml:space="preserve">8,453 </w:t>
            </w:r>
          </w:p>
        </w:tc>
      </w:tr>
    </w:tbl>
    <w:p w14:paraId="5A0CE62E" w14:textId="77777777" w:rsidR="00EA313E" w:rsidRDefault="00EA313E" w:rsidP="00EA313E">
      <w:pPr>
        <w:jc w:val="both"/>
        <w:rPr>
          <w:rFonts w:asciiTheme="majorBidi" w:hAnsiTheme="majorBidi" w:cstheme="majorBidi"/>
        </w:rPr>
      </w:pPr>
      <w:r w:rsidRPr="00B67CC0">
        <w:rPr>
          <w:rFonts w:asciiTheme="majorBidi" w:hAnsiTheme="majorBidi" w:cstheme="majorBidi"/>
        </w:rPr>
        <w:t>*, **  indicate significance at 5%, and 1% level, respectively</w:t>
      </w:r>
    </w:p>
    <w:p w14:paraId="3BE76AD2" w14:textId="77777777" w:rsidR="00EA313E" w:rsidRDefault="00EA313E" w:rsidP="00EA313E">
      <w:pPr>
        <w:widowControl/>
        <w:autoSpaceDE/>
        <w:autoSpaceDN/>
        <w:jc w:val="both"/>
        <w:rPr>
          <w:rFonts w:asciiTheme="majorBidi" w:hAnsiTheme="majorBidi" w:cstheme="majorBidi"/>
        </w:rPr>
      </w:pPr>
      <w:r w:rsidRPr="00B67CC0">
        <w:rPr>
          <w:rFonts w:asciiTheme="majorBidi" w:hAnsiTheme="majorBidi" w:cstheme="majorBidi"/>
          <w14:ligatures w14:val="none"/>
        </w:rPr>
        <w:t xml:space="preserve">*Each ESG measure has a polarity indicating whether a higher value is positive or negative. </w:t>
      </w:r>
      <w:r w:rsidRPr="00B67CC0">
        <w:rPr>
          <w:rFonts w:asciiTheme="majorBidi" w:hAnsiTheme="majorBidi" w:cstheme="majorBidi"/>
        </w:rPr>
        <w:t>Companies with no controversies get a score of 100.</w:t>
      </w:r>
    </w:p>
    <w:p w14:paraId="6B30D994" w14:textId="77777777" w:rsidR="00695058" w:rsidRPr="00B67CC0" w:rsidRDefault="00695058" w:rsidP="00695058">
      <w:pPr>
        <w:adjustRightInd w:val="0"/>
        <w:jc w:val="both"/>
        <w:rPr>
          <w:rFonts w:asciiTheme="majorBidi" w:hAnsiTheme="majorBidi" w:cstheme="majorBidi"/>
        </w:rPr>
      </w:pPr>
    </w:p>
    <w:p w14:paraId="4C17E0A6" w14:textId="77777777" w:rsidR="00695058" w:rsidRPr="00B67CC0" w:rsidRDefault="00695058" w:rsidP="00695058">
      <w:pPr>
        <w:adjustRightInd w:val="0"/>
        <w:jc w:val="both"/>
        <w:rPr>
          <w:rFonts w:asciiTheme="majorBidi" w:hAnsiTheme="majorBidi" w:cstheme="majorBidi"/>
        </w:rPr>
      </w:pPr>
    </w:p>
    <w:p w14:paraId="4B123112" w14:textId="77777777" w:rsidR="00695058" w:rsidRPr="00B67CC0" w:rsidRDefault="00695058" w:rsidP="00695058">
      <w:pPr>
        <w:adjustRightInd w:val="0"/>
        <w:spacing w:line="480" w:lineRule="auto"/>
        <w:jc w:val="both"/>
        <w:rPr>
          <w:rFonts w:asciiTheme="majorBidi" w:hAnsiTheme="majorBidi" w:cstheme="majorBidi"/>
        </w:rPr>
      </w:pPr>
    </w:p>
    <w:p w14:paraId="53D87FD8" w14:textId="77777777" w:rsidR="0088494B" w:rsidRDefault="0088494B" w:rsidP="0088494B">
      <w:pPr>
        <w:adjustRightInd w:val="0"/>
        <w:spacing w:line="480" w:lineRule="auto"/>
        <w:jc w:val="both"/>
        <w:rPr>
          <w:rFonts w:asciiTheme="majorBidi" w:hAnsiTheme="majorBidi" w:cstheme="majorBidi"/>
        </w:rPr>
        <w:sectPr w:rsidR="0088494B" w:rsidSect="00AA2755">
          <w:headerReference w:type="even" r:id="rId22"/>
          <w:headerReference w:type="default" r:id="rId23"/>
          <w:footerReference w:type="even" r:id="rId24"/>
          <w:footerReference w:type="default" r:id="rId25"/>
          <w:headerReference w:type="first" r:id="rId26"/>
          <w:footerReference w:type="first" r:id="rId27"/>
          <w:type w:val="nextColumn"/>
          <w:pgSz w:w="12240" w:h="15840"/>
          <w:pgMar w:top="1440" w:right="1440" w:bottom="1440" w:left="1440" w:header="720" w:footer="720" w:gutter="0"/>
          <w:cols w:space="720"/>
          <w:docGrid w:linePitch="360"/>
        </w:sectPr>
      </w:pPr>
    </w:p>
    <w:p w14:paraId="5486C413" w14:textId="77777777" w:rsidR="00EA313E" w:rsidRDefault="00EA313E" w:rsidP="00EA313E">
      <w:pPr>
        <w:widowControl/>
        <w:autoSpaceDE/>
        <w:autoSpaceDN/>
        <w:jc w:val="center"/>
        <w:rPr>
          <w:rFonts w:asciiTheme="majorBidi" w:hAnsiTheme="majorBidi" w:cstheme="majorBidi"/>
          <w:b/>
          <w:bCs/>
          <w14:ligatures w14:val="none"/>
        </w:rPr>
      </w:pPr>
    </w:p>
    <w:p w14:paraId="511CEFE2" w14:textId="77777777" w:rsidR="00EA313E" w:rsidRDefault="00EA313E" w:rsidP="00EA313E">
      <w:pPr>
        <w:widowControl/>
        <w:autoSpaceDE/>
        <w:autoSpaceDN/>
        <w:jc w:val="center"/>
        <w:rPr>
          <w:rFonts w:asciiTheme="majorBidi" w:hAnsiTheme="majorBidi" w:cstheme="majorBidi"/>
          <w:b/>
          <w:bCs/>
          <w14:ligatures w14:val="none"/>
        </w:rPr>
      </w:pPr>
      <w:r>
        <w:rPr>
          <w:rFonts w:asciiTheme="majorBidi" w:hAnsiTheme="majorBidi" w:cstheme="majorBidi"/>
          <w:b/>
          <w:bCs/>
          <w14:ligatures w14:val="none"/>
        </w:rPr>
        <w:t>T</w:t>
      </w:r>
      <w:r w:rsidRPr="0071098D">
        <w:rPr>
          <w:rFonts w:asciiTheme="majorBidi" w:hAnsiTheme="majorBidi" w:cstheme="majorBidi"/>
          <w:b/>
          <w:bCs/>
          <w14:ligatures w14:val="none"/>
        </w:rPr>
        <w:t>able 3: Correlation Matrix</w:t>
      </w:r>
    </w:p>
    <w:p w14:paraId="5E2B88EA" w14:textId="77777777" w:rsidR="00EA313E" w:rsidRPr="0071098D" w:rsidRDefault="00EA313E" w:rsidP="00EA313E">
      <w:pPr>
        <w:widowControl/>
        <w:autoSpaceDE/>
        <w:autoSpaceDN/>
        <w:rPr>
          <w:rFonts w:asciiTheme="majorBidi" w:hAnsiTheme="majorBidi" w:cstheme="majorBidi"/>
          <w:b/>
          <w:bCs/>
          <w14:ligatures w14:val="none"/>
        </w:rPr>
      </w:pPr>
      <w:r>
        <w:rPr>
          <w:rFonts w:asciiTheme="majorBidi" w:hAnsiTheme="majorBidi" w:cstheme="majorBidi"/>
          <w:b/>
          <w:bCs/>
          <w14:ligatures w14:val="none"/>
        </w:rPr>
        <w:t>Full Sample</w:t>
      </w:r>
    </w:p>
    <w:tbl>
      <w:tblPr>
        <w:tblW w:w="13143" w:type="dxa"/>
        <w:tblBorders>
          <w:insideH w:val="single" w:sz="4" w:space="0" w:color="auto"/>
        </w:tblBorders>
        <w:tblLayout w:type="fixed"/>
        <w:tblLook w:val="04A0" w:firstRow="1" w:lastRow="0" w:firstColumn="1" w:lastColumn="0" w:noHBand="0" w:noVBand="1"/>
      </w:tblPr>
      <w:tblGrid>
        <w:gridCol w:w="1968"/>
        <w:gridCol w:w="657"/>
        <w:gridCol w:w="657"/>
        <w:gridCol w:w="657"/>
        <w:gridCol w:w="658"/>
        <w:gridCol w:w="657"/>
        <w:gridCol w:w="657"/>
        <w:gridCol w:w="657"/>
        <w:gridCol w:w="658"/>
        <w:gridCol w:w="657"/>
        <w:gridCol w:w="657"/>
        <w:gridCol w:w="657"/>
        <w:gridCol w:w="658"/>
        <w:gridCol w:w="657"/>
        <w:gridCol w:w="657"/>
        <w:gridCol w:w="658"/>
        <w:gridCol w:w="658"/>
        <w:gridCol w:w="658"/>
      </w:tblGrid>
      <w:tr w:rsidR="00EA313E" w:rsidRPr="00E22546" w14:paraId="01DBD8F9" w14:textId="77777777" w:rsidTr="00F42F0F">
        <w:trPr>
          <w:cantSplit/>
          <w:trHeight w:val="1797"/>
        </w:trPr>
        <w:tc>
          <w:tcPr>
            <w:tcW w:w="1968" w:type="dxa"/>
            <w:tcBorders>
              <w:top w:val="double" w:sz="4" w:space="0" w:color="auto"/>
              <w:bottom w:val="double" w:sz="4" w:space="0" w:color="auto"/>
            </w:tcBorders>
            <w:shd w:val="clear" w:color="auto" w:fill="auto"/>
            <w:noWrap/>
            <w:vAlign w:val="bottom"/>
            <w:hideMark/>
          </w:tcPr>
          <w:p w14:paraId="473074B7" w14:textId="77777777" w:rsidR="00EA313E" w:rsidRPr="00E22546" w:rsidRDefault="00EA313E" w:rsidP="00F42F0F">
            <w:pPr>
              <w:widowControl/>
              <w:autoSpaceDE/>
              <w:autoSpaceDN/>
              <w:rPr>
                <w:rFonts w:asciiTheme="majorBidi" w:hAnsiTheme="majorBidi" w:cstheme="majorBidi"/>
                <w14:ligatures w14:val="none"/>
              </w:rPr>
            </w:pPr>
            <w:r w:rsidRPr="00E22546">
              <w:rPr>
                <w:rFonts w:asciiTheme="majorBidi" w:hAnsiTheme="majorBidi" w:cstheme="majorBidi"/>
                <w14:ligatures w14:val="none"/>
              </w:rPr>
              <w:t>Variables</w:t>
            </w:r>
          </w:p>
        </w:tc>
        <w:tc>
          <w:tcPr>
            <w:tcW w:w="657" w:type="dxa"/>
            <w:tcBorders>
              <w:top w:val="double" w:sz="4" w:space="0" w:color="auto"/>
              <w:bottom w:val="double" w:sz="4" w:space="0" w:color="auto"/>
            </w:tcBorders>
            <w:shd w:val="clear" w:color="auto" w:fill="auto"/>
            <w:noWrap/>
            <w:textDirection w:val="btLr"/>
            <w:vAlign w:val="center"/>
            <w:hideMark/>
          </w:tcPr>
          <w:p w14:paraId="28FA660D"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Issuer Size</w:t>
            </w:r>
          </w:p>
        </w:tc>
        <w:tc>
          <w:tcPr>
            <w:tcW w:w="657" w:type="dxa"/>
            <w:tcBorders>
              <w:top w:val="double" w:sz="4" w:space="0" w:color="auto"/>
              <w:bottom w:val="double" w:sz="4" w:space="0" w:color="auto"/>
            </w:tcBorders>
            <w:shd w:val="clear" w:color="auto" w:fill="auto"/>
            <w:noWrap/>
            <w:textDirection w:val="btLr"/>
            <w:vAlign w:val="center"/>
            <w:hideMark/>
          </w:tcPr>
          <w:p w14:paraId="2929C4D6"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Leverage</w:t>
            </w:r>
          </w:p>
        </w:tc>
        <w:tc>
          <w:tcPr>
            <w:tcW w:w="657" w:type="dxa"/>
            <w:tcBorders>
              <w:top w:val="double" w:sz="4" w:space="0" w:color="auto"/>
              <w:bottom w:val="double" w:sz="4" w:space="0" w:color="auto"/>
            </w:tcBorders>
            <w:shd w:val="clear" w:color="auto" w:fill="auto"/>
            <w:noWrap/>
            <w:textDirection w:val="btLr"/>
            <w:vAlign w:val="center"/>
            <w:hideMark/>
          </w:tcPr>
          <w:p w14:paraId="4270FD7D"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Big4</w:t>
            </w:r>
          </w:p>
        </w:tc>
        <w:tc>
          <w:tcPr>
            <w:tcW w:w="658" w:type="dxa"/>
            <w:tcBorders>
              <w:top w:val="double" w:sz="4" w:space="0" w:color="auto"/>
              <w:bottom w:val="double" w:sz="4" w:space="0" w:color="auto"/>
            </w:tcBorders>
            <w:shd w:val="clear" w:color="auto" w:fill="auto"/>
            <w:noWrap/>
            <w:textDirection w:val="btLr"/>
            <w:vAlign w:val="center"/>
            <w:hideMark/>
          </w:tcPr>
          <w:p w14:paraId="03B983A6"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Return on Assets</w:t>
            </w:r>
          </w:p>
        </w:tc>
        <w:tc>
          <w:tcPr>
            <w:tcW w:w="657" w:type="dxa"/>
            <w:tcBorders>
              <w:top w:val="double" w:sz="4" w:space="0" w:color="auto"/>
              <w:bottom w:val="double" w:sz="4" w:space="0" w:color="auto"/>
            </w:tcBorders>
            <w:shd w:val="clear" w:color="auto" w:fill="auto"/>
            <w:noWrap/>
            <w:textDirection w:val="btLr"/>
            <w:vAlign w:val="center"/>
            <w:hideMark/>
          </w:tcPr>
          <w:p w14:paraId="7EFC259B"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Z-score</w:t>
            </w:r>
          </w:p>
        </w:tc>
        <w:tc>
          <w:tcPr>
            <w:tcW w:w="657" w:type="dxa"/>
            <w:tcBorders>
              <w:top w:val="double" w:sz="4" w:space="0" w:color="auto"/>
              <w:bottom w:val="double" w:sz="4" w:space="0" w:color="auto"/>
            </w:tcBorders>
            <w:shd w:val="clear" w:color="auto" w:fill="auto"/>
            <w:noWrap/>
            <w:textDirection w:val="btLr"/>
            <w:vAlign w:val="center"/>
            <w:hideMark/>
          </w:tcPr>
          <w:p w14:paraId="2A3BB541"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ESG Combined </w:t>
            </w:r>
          </w:p>
        </w:tc>
        <w:tc>
          <w:tcPr>
            <w:tcW w:w="657" w:type="dxa"/>
            <w:tcBorders>
              <w:top w:val="double" w:sz="4" w:space="0" w:color="auto"/>
              <w:bottom w:val="double" w:sz="4" w:space="0" w:color="auto"/>
            </w:tcBorders>
            <w:shd w:val="clear" w:color="auto" w:fill="auto"/>
            <w:noWrap/>
            <w:textDirection w:val="btLr"/>
            <w:vAlign w:val="center"/>
            <w:hideMark/>
          </w:tcPr>
          <w:p w14:paraId="4FA54186"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  ESG Controversies *</w:t>
            </w:r>
          </w:p>
        </w:tc>
        <w:tc>
          <w:tcPr>
            <w:tcW w:w="658" w:type="dxa"/>
            <w:tcBorders>
              <w:top w:val="double" w:sz="4" w:space="0" w:color="auto"/>
              <w:bottom w:val="double" w:sz="4" w:space="0" w:color="auto"/>
            </w:tcBorders>
            <w:shd w:val="clear" w:color="auto" w:fill="auto"/>
            <w:noWrap/>
            <w:textDirection w:val="btLr"/>
            <w:vAlign w:val="center"/>
            <w:hideMark/>
          </w:tcPr>
          <w:p w14:paraId="11CF9364"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  ESG </w:t>
            </w:r>
          </w:p>
        </w:tc>
        <w:tc>
          <w:tcPr>
            <w:tcW w:w="657" w:type="dxa"/>
            <w:tcBorders>
              <w:top w:val="double" w:sz="4" w:space="0" w:color="auto"/>
              <w:bottom w:val="double" w:sz="4" w:space="0" w:color="auto"/>
            </w:tcBorders>
            <w:shd w:val="clear" w:color="auto" w:fill="auto"/>
            <w:noWrap/>
            <w:textDirection w:val="btLr"/>
            <w:vAlign w:val="center"/>
            <w:hideMark/>
          </w:tcPr>
          <w:p w14:paraId="63561168"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Environment </w:t>
            </w:r>
          </w:p>
        </w:tc>
        <w:tc>
          <w:tcPr>
            <w:tcW w:w="657" w:type="dxa"/>
            <w:tcBorders>
              <w:top w:val="double" w:sz="4" w:space="0" w:color="auto"/>
              <w:bottom w:val="double" w:sz="4" w:space="0" w:color="auto"/>
            </w:tcBorders>
            <w:shd w:val="clear" w:color="auto" w:fill="auto"/>
            <w:noWrap/>
            <w:textDirection w:val="btLr"/>
            <w:vAlign w:val="center"/>
            <w:hideMark/>
          </w:tcPr>
          <w:p w14:paraId="77E6B7D1"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Social</w:t>
            </w:r>
          </w:p>
        </w:tc>
        <w:tc>
          <w:tcPr>
            <w:tcW w:w="657" w:type="dxa"/>
            <w:tcBorders>
              <w:top w:val="double" w:sz="4" w:space="0" w:color="auto"/>
              <w:bottom w:val="double" w:sz="4" w:space="0" w:color="auto"/>
            </w:tcBorders>
            <w:shd w:val="clear" w:color="auto" w:fill="auto"/>
            <w:noWrap/>
            <w:textDirection w:val="btLr"/>
            <w:vAlign w:val="center"/>
            <w:hideMark/>
          </w:tcPr>
          <w:p w14:paraId="6926C27C"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Governance </w:t>
            </w:r>
          </w:p>
        </w:tc>
        <w:tc>
          <w:tcPr>
            <w:tcW w:w="658" w:type="dxa"/>
            <w:tcBorders>
              <w:top w:val="double" w:sz="4" w:space="0" w:color="auto"/>
              <w:bottom w:val="double" w:sz="4" w:space="0" w:color="auto"/>
            </w:tcBorders>
            <w:shd w:val="clear" w:color="auto" w:fill="auto"/>
            <w:noWrap/>
            <w:textDirection w:val="btLr"/>
            <w:vAlign w:val="center"/>
            <w:hideMark/>
          </w:tcPr>
          <w:p w14:paraId="0F000F1A"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Yield Spread</w:t>
            </w:r>
          </w:p>
        </w:tc>
        <w:tc>
          <w:tcPr>
            <w:tcW w:w="657" w:type="dxa"/>
            <w:tcBorders>
              <w:top w:val="double" w:sz="4" w:space="0" w:color="auto"/>
              <w:bottom w:val="double" w:sz="4" w:space="0" w:color="auto"/>
            </w:tcBorders>
            <w:shd w:val="clear" w:color="auto" w:fill="auto"/>
            <w:noWrap/>
            <w:textDirection w:val="btLr"/>
            <w:vAlign w:val="center"/>
            <w:hideMark/>
          </w:tcPr>
          <w:p w14:paraId="10501C2F"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Moody's Rating </w:t>
            </w:r>
          </w:p>
        </w:tc>
        <w:tc>
          <w:tcPr>
            <w:tcW w:w="657" w:type="dxa"/>
            <w:tcBorders>
              <w:top w:val="double" w:sz="4" w:space="0" w:color="auto"/>
              <w:bottom w:val="double" w:sz="4" w:space="0" w:color="auto"/>
            </w:tcBorders>
            <w:shd w:val="clear" w:color="auto" w:fill="auto"/>
            <w:noWrap/>
            <w:textDirection w:val="btLr"/>
            <w:vAlign w:val="center"/>
            <w:hideMark/>
          </w:tcPr>
          <w:p w14:paraId="6C55F257"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CAR[-1,+1]</w:t>
            </w:r>
          </w:p>
        </w:tc>
        <w:tc>
          <w:tcPr>
            <w:tcW w:w="658" w:type="dxa"/>
            <w:tcBorders>
              <w:top w:val="double" w:sz="4" w:space="0" w:color="auto"/>
              <w:bottom w:val="double" w:sz="4" w:space="0" w:color="auto"/>
            </w:tcBorders>
            <w:textDirection w:val="btLr"/>
            <w:vAlign w:val="center"/>
          </w:tcPr>
          <w:p w14:paraId="383EE772" w14:textId="77777777" w:rsidR="00EA313E" w:rsidRPr="00343C54" w:rsidRDefault="00EA313E" w:rsidP="00F42F0F">
            <w:pPr>
              <w:widowControl/>
              <w:autoSpaceDE/>
              <w:autoSpaceDN/>
              <w:ind w:left="113" w:right="-118"/>
              <w:rPr>
                <w:rFonts w:asciiTheme="majorBidi" w:hAnsiTheme="majorBidi" w:cstheme="majorBidi"/>
                <w:sz w:val="20"/>
                <w:szCs w:val="20"/>
              </w:rPr>
            </w:pPr>
            <w:r>
              <w:rPr>
                <w:color w:val="000000"/>
              </w:rPr>
              <w:t>Maturity</w:t>
            </w:r>
          </w:p>
        </w:tc>
        <w:tc>
          <w:tcPr>
            <w:tcW w:w="658" w:type="dxa"/>
            <w:tcBorders>
              <w:top w:val="double" w:sz="4" w:space="0" w:color="auto"/>
              <w:bottom w:val="double" w:sz="4" w:space="0" w:color="auto"/>
            </w:tcBorders>
            <w:shd w:val="clear" w:color="auto" w:fill="auto"/>
            <w:noWrap/>
            <w:textDirection w:val="btLr"/>
            <w:vAlign w:val="center"/>
            <w:hideMark/>
          </w:tcPr>
          <w:p w14:paraId="6041D35C"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Duration</w:t>
            </w:r>
          </w:p>
        </w:tc>
        <w:tc>
          <w:tcPr>
            <w:tcW w:w="658" w:type="dxa"/>
            <w:tcBorders>
              <w:top w:val="double" w:sz="4" w:space="0" w:color="auto"/>
              <w:bottom w:val="double" w:sz="4" w:space="0" w:color="auto"/>
            </w:tcBorders>
            <w:textDirection w:val="btLr"/>
            <w:vAlign w:val="center"/>
          </w:tcPr>
          <w:p w14:paraId="58564D2F" w14:textId="77777777" w:rsidR="00EA313E" w:rsidRPr="00343C54" w:rsidRDefault="00EA313E" w:rsidP="00F42F0F">
            <w:pPr>
              <w:widowControl/>
              <w:autoSpaceDE/>
              <w:autoSpaceDN/>
              <w:ind w:left="113" w:right="-118"/>
              <w:rPr>
                <w:color w:val="000000"/>
                <w:sz w:val="20"/>
                <w:szCs w:val="20"/>
              </w:rPr>
            </w:pPr>
            <w:r>
              <w:rPr>
                <w:color w:val="000000"/>
              </w:rPr>
              <w:t>Relative Size</w:t>
            </w:r>
          </w:p>
        </w:tc>
      </w:tr>
      <w:tr w:rsidR="00EA313E" w:rsidRPr="00E22546" w14:paraId="36D0989F" w14:textId="77777777" w:rsidTr="00F42F0F">
        <w:tc>
          <w:tcPr>
            <w:tcW w:w="1968" w:type="dxa"/>
            <w:tcBorders>
              <w:top w:val="double" w:sz="4" w:space="0" w:color="auto"/>
            </w:tcBorders>
            <w:shd w:val="clear" w:color="auto" w:fill="auto"/>
            <w:noWrap/>
            <w:vAlign w:val="bottom"/>
            <w:hideMark/>
          </w:tcPr>
          <w:p w14:paraId="6A1F7437"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Issuer Size</w:t>
            </w:r>
          </w:p>
        </w:tc>
        <w:tc>
          <w:tcPr>
            <w:tcW w:w="657" w:type="dxa"/>
            <w:tcBorders>
              <w:top w:val="double" w:sz="4" w:space="0" w:color="auto"/>
            </w:tcBorders>
            <w:shd w:val="clear" w:color="auto" w:fill="auto"/>
            <w:noWrap/>
            <w:hideMark/>
          </w:tcPr>
          <w:p w14:paraId="53BA3ED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7" w:type="dxa"/>
            <w:tcBorders>
              <w:top w:val="double" w:sz="4" w:space="0" w:color="auto"/>
            </w:tcBorders>
            <w:shd w:val="clear" w:color="auto" w:fill="auto"/>
            <w:noWrap/>
            <w:hideMark/>
          </w:tcPr>
          <w:p w14:paraId="2B08CAC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-.261</w:t>
            </w:r>
            <w:r w:rsidRPr="000B490A">
              <w:rPr>
                <w:rFonts w:asciiTheme="majorBidi" w:hAnsiTheme="majorBidi" w:cstheme="majorBidi"/>
                <w:sz w:val="18"/>
                <w:szCs w:val="18"/>
                <w:vertAlign w:val="superscript"/>
              </w:rPr>
              <w:t>**</w:t>
            </w:r>
          </w:p>
        </w:tc>
        <w:tc>
          <w:tcPr>
            <w:tcW w:w="657" w:type="dxa"/>
            <w:tcBorders>
              <w:top w:val="double" w:sz="4" w:space="0" w:color="auto"/>
            </w:tcBorders>
            <w:shd w:val="clear" w:color="auto" w:fill="auto"/>
            <w:noWrap/>
            <w:hideMark/>
          </w:tcPr>
          <w:p w14:paraId="0B5892A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0.013</w:t>
            </w:r>
          </w:p>
        </w:tc>
        <w:tc>
          <w:tcPr>
            <w:tcW w:w="658" w:type="dxa"/>
            <w:tcBorders>
              <w:top w:val="double" w:sz="4" w:space="0" w:color="auto"/>
            </w:tcBorders>
            <w:shd w:val="clear" w:color="auto" w:fill="auto"/>
            <w:noWrap/>
            <w:hideMark/>
          </w:tcPr>
          <w:p w14:paraId="5FFFFB3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.150</w:t>
            </w:r>
            <w:r w:rsidRPr="000B490A">
              <w:rPr>
                <w:rFonts w:asciiTheme="majorBidi" w:hAnsiTheme="majorBidi" w:cstheme="majorBidi"/>
                <w:sz w:val="18"/>
                <w:szCs w:val="18"/>
                <w:vertAlign w:val="superscript"/>
              </w:rPr>
              <w:t>**</w:t>
            </w:r>
          </w:p>
        </w:tc>
        <w:tc>
          <w:tcPr>
            <w:tcW w:w="657" w:type="dxa"/>
            <w:tcBorders>
              <w:top w:val="double" w:sz="4" w:space="0" w:color="auto"/>
            </w:tcBorders>
            <w:shd w:val="clear" w:color="auto" w:fill="auto"/>
            <w:noWrap/>
            <w:hideMark/>
          </w:tcPr>
          <w:p w14:paraId="7A56782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.031</w:t>
            </w:r>
            <w:r w:rsidRPr="000B490A">
              <w:rPr>
                <w:rFonts w:asciiTheme="majorBidi" w:hAnsiTheme="majorBidi" w:cstheme="majorBidi"/>
                <w:sz w:val="18"/>
                <w:szCs w:val="18"/>
                <w:vertAlign w:val="superscript"/>
              </w:rPr>
              <w:t>**</w:t>
            </w:r>
          </w:p>
        </w:tc>
        <w:tc>
          <w:tcPr>
            <w:tcW w:w="657" w:type="dxa"/>
            <w:tcBorders>
              <w:top w:val="double" w:sz="4" w:space="0" w:color="auto"/>
            </w:tcBorders>
            <w:shd w:val="clear" w:color="auto" w:fill="auto"/>
            <w:noWrap/>
            <w:hideMark/>
          </w:tcPr>
          <w:p w14:paraId="624C48F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.421</w:t>
            </w:r>
            <w:r w:rsidRPr="000B490A">
              <w:rPr>
                <w:rFonts w:asciiTheme="majorBidi" w:hAnsiTheme="majorBidi" w:cstheme="majorBidi"/>
                <w:sz w:val="18"/>
                <w:szCs w:val="18"/>
                <w:vertAlign w:val="superscript"/>
              </w:rPr>
              <w:t>**</w:t>
            </w:r>
          </w:p>
        </w:tc>
        <w:tc>
          <w:tcPr>
            <w:tcW w:w="657" w:type="dxa"/>
            <w:tcBorders>
              <w:top w:val="double" w:sz="4" w:space="0" w:color="auto"/>
            </w:tcBorders>
            <w:shd w:val="clear" w:color="auto" w:fill="auto"/>
            <w:noWrap/>
            <w:hideMark/>
          </w:tcPr>
          <w:p w14:paraId="2397C24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-.122</w:t>
            </w:r>
            <w:r w:rsidRPr="000B490A">
              <w:rPr>
                <w:rFonts w:asciiTheme="majorBidi" w:hAnsiTheme="majorBidi" w:cstheme="majorBidi"/>
                <w:sz w:val="18"/>
                <w:szCs w:val="18"/>
                <w:vertAlign w:val="superscript"/>
              </w:rPr>
              <w:t>**</w:t>
            </w:r>
          </w:p>
        </w:tc>
        <w:tc>
          <w:tcPr>
            <w:tcW w:w="658" w:type="dxa"/>
            <w:tcBorders>
              <w:top w:val="double" w:sz="4" w:space="0" w:color="auto"/>
            </w:tcBorders>
            <w:shd w:val="clear" w:color="auto" w:fill="auto"/>
            <w:noWrap/>
            <w:hideMark/>
          </w:tcPr>
          <w:p w14:paraId="100537D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.605</w:t>
            </w:r>
            <w:r w:rsidRPr="000B490A">
              <w:rPr>
                <w:rFonts w:asciiTheme="majorBidi" w:hAnsiTheme="majorBidi" w:cstheme="majorBidi"/>
                <w:sz w:val="18"/>
                <w:szCs w:val="18"/>
                <w:vertAlign w:val="superscript"/>
              </w:rPr>
              <w:t>**</w:t>
            </w:r>
          </w:p>
        </w:tc>
        <w:tc>
          <w:tcPr>
            <w:tcW w:w="657" w:type="dxa"/>
            <w:tcBorders>
              <w:top w:val="double" w:sz="4" w:space="0" w:color="auto"/>
            </w:tcBorders>
            <w:shd w:val="clear" w:color="auto" w:fill="auto"/>
            <w:noWrap/>
            <w:hideMark/>
          </w:tcPr>
          <w:p w14:paraId="333C44B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.610</w:t>
            </w:r>
            <w:r w:rsidRPr="000B490A">
              <w:rPr>
                <w:rFonts w:asciiTheme="majorBidi" w:hAnsiTheme="majorBidi" w:cstheme="majorBidi"/>
                <w:sz w:val="18"/>
                <w:szCs w:val="18"/>
                <w:vertAlign w:val="superscript"/>
              </w:rPr>
              <w:t>**</w:t>
            </w:r>
          </w:p>
        </w:tc>
        <w:tc>
          <w:tcPr>
            <w:tcW w:w="657" w:type="dxa"/>
            <w:tcBorders>
              <w:top w:val="double" w:sz="4" w:space="0" w:color="auto"/>
            </w:tcBorders>
            <w:shd w:val="clear" w:color="auto" w:fill="auto"/>
            <w:noWrap/>
            <w:hideMark/>
          </w:tcPr>
          <w:p w14:paraId="2A24115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.596</w:t>
            </w:r>
            <w:r w:rsidRPr="000B490A">
              <w:rPr>
                <w:rFonts w:asciiTheme="majorBidi" w:hAnsiTheme="majorBidi" w:cstheme="majorBidi"/>
                <w:sz w:val="18"/>
                <w:szCs w:val="18"/>
                <w:vertAlign w:val="superscript"/>
              </w:rPr>
              <w:t>**</w:t>
            </w:r>
          </w:p>
        </w:tc>
        <w:tc>
          <w:tcPr>
            <w:tcW w:w="657" w:type="dxa"/>
            <w:tcBorders>
              <w:top w:val="double" w:sz="4" w:space="0" w:color="auto"/>
            </w:tcBorders>
            <w:shd w:val="clear" w:color="auto" w:fill="auto"/>
            <w:noWrap/>
            <w:hideMark/>
          </w:tcPr>
          <w:p w14:paraId="44BB1F8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.457</w:t>
            </w:r>
            <w:r w:rsidRPr="000B490A">
              <w:rPr>
                <w:rFonts w:asciiTheme="majorBidi" w:hAnsiTheme="majorBidi" w:cstheme="majorBidi"/>
                <w:sz w:val="18"/>
                <w:szCs w:val="18"/>
                <w:vertAlign w:val="superscript"/>
              </w:rPr>
              <w:t>**</w:t>
            </w:r>
          </w:p>
        </w:tc>
        <w:tc>
          <w:tcPr>
            <w:tcW w:w="658" w:type="dxa"/>
            <w:tcBorders>
              <w:top w:val="double" w:sz="4" w:space="0" w:color="auto"/>
            </w:tcBorders>
            <w:shd w:val="clear" w:color="auto" w:fill="auto"/>
            <w:noWrap/>
            <w:hideMark/>
          </w:tcPr>
          <w:p w14:paraId="59B5A32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-.389</w:t>
            </w:r>
            <w:r w:rsidRPr="000B490A">
              <w:rPr>
                <w:rFonts w:asciiTheme="majorBidi" w:hAnsiTheme="majorBidi" w:cstheme="majorBidi"/>
                <w:sz w:val="18"/>
                <w:szCs w:val="18"/>
                <w:vertAlign w:val="superscript"/>
              </w:rPr>
              <w:t>**</w:t>
            </w:r>
          </w:p>
        </w:tc>
        <w:tc>
          <w:tcPr>
            <w:tcW w:w="657" w:type="dxa"/>
            <w:tcBorders>
              <w:top w:val="double" w:sz="4" w:space="0" w:color="auto"/>
            </w:tcBorders>
            <w:shd w:val="clear" w:color="auto" w:fill="auto"/>
            <w:noWrap/>
            <w:hideMark/>
          </w:tcPr>
          <w:p w14:paraId="284228C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.372</w:t>
            </w:r>
            <w:r w:rsidRPr="000B490A">
              <w:rPr>
                <w:rFonts w:asciiTheme="majorBidi" w:hAnsiTheme="majorBidi" w:cstheme="majorBidi"/>
                <w:sz w:val="18"/>
                <w:szCs w:val="18"/>
                <w:vertAlign w:val="superscript"/>
              </w:rPr>
              <w:t>**</w:t>
            </w:r>
          </w:p>
        </w:tc>
        <w:tc>
          <w:tcPr>
            <w:tcW w:w="657" w:type="dxa"/>
            <w:tcBorders>
              <w:top w:val="double" w:sz="4" w:space="0" w:color="auto"/>
            </w:tcBorders>
            <w:shd w:val="clear" w:color="auto" w:fill="auto"/>
            <w:noWrap/>
            <w:hideMark/>
          </w:tcPr>
          <w:p w14:paraId="0D241B7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.090</w:t>
            </w:r>
            <w:r w:rsidRPr="000B490A">
              <w:rPr>
                <w:rFonts w:asciiTheme="majorBidi" w:hAnsiTheme="majorBidi" w:cstheme="majorBidi"/>
                <w:sz w:val="18"/>
                <w:szCs w:val="18"/>
                <w:vertAlign w:val="superscript"/>
              </w:rPr>
              <w:t>**</w:t>
            </w:r>
          </w:p>
        </w:tc>
        <w:tc>
          <w:tcPr>
            <w:tcW w:w="658" w:type="dxa"/>
            <w:tcBorders>
              <w:top w:val="double" w:sz="4" w:space="0" w:color="auto"/>
            </w:tcBorders>
          </w:tcPr>
          <w:p w14:paraId="3D3D5EC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.137</w:t>
            </w:r>
            <w:r w:rsidRPr="000B490A">
              <w:rPr>
                <w:rFonts w:asciiTheme="majorBidi" w:hAnsiTheme="majorBidi" w:cstheme="majorBidi"/>
                <w:sz w:val="18"/>
                <w:szCs w:val="18"/>
                <w:vertAlign w:val="superscript"/>
              </w:rPr>
              <w:t>**</w:t>
            </w:r>
          </w:p>
        </w:tc>
        <w:tc>
          <w:tcPr>
            <w:tcW w:w="658" w:type="dxa"/>
            <w:tcBorders>
              <w:top w:val="double" w:sz="4" w:space="0" w:color="auto"/>
            </w:tcBorders>
            <w:shd w:val="clear" w:color="auto" w:fill="auto"/>
            <w:noWrap/>
            <w:hideMark/>
          </w:tcPr>
          <w:p w14:paraId="766A7A0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.179</w:t>
            </w:r>
            <w:r w:rsidRPr="000B490A">
              <w:rPr>
                <w:rFonts w:asciiTheme="majorBidi" w:hAnsiTheme="majorBidi" w:cstheme="majorBidi"/>
                <w:sz w:val="18"/>
                <w:szCs w:val="18"/>
                <w:vertAlign w:val="superscript"/>
              </w:rPr>
              <w:t>**</w:t>
            </w:r>
          </w:p>
        </w:tc>
        <w:tc>
          <w:tcPr>
            <w:tcW w:w="658" w:type="dxa"/>
            <w:tcBorders>
              <w:top w:val="double" w:sz="4" w:space="0" w:color="auto"/>
            </w:tcBorders>
          </w:tcPr>
          <w:p w14:paraId="6DD8F23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-.056</w:t>
            </w:r>
            <w:r w:rsidRPr="000B490A">
              <w:rPr>
                <w:rFonts w:asciiTheme="majorBidi" w:hAnsiTheme="majorBidi" w:cstheme="majorBidi"/>
                <w:sz w:val="18"/>
                <w:szCs w:val="18"/>
                <w:vertAlign w:val="superscript"/>
              </w:rPr>
              <w:t>**</w:t>
            </w:r>
          </w:p>
        </w:tc>
      </w:tr>
      <w:tr w:rsidR="00EA313E" w:rsidRPr="00E22546" w14:paraId="0D3C4BE8" w14:textId="77777777" w:rsidTr="00F42F0F">
        <w:tc>
          <w:tcPr>
            <w:tcW w:w="1968" w:type="dxa"/>
            <w:shd w:val="clear" w:color="auto" w:fill="auto"/>
            <w:noWrap/>
            <w:vAlign w:val="bottom"/>
            <w:hideMark/>
          </w:tcPr>
          <w:p w14:paraId="7B7BDC9B"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Leverage</w:t>
            </w:r>
          </w:p>
        </w:tc>
        <w:tc>
          <w:tcPr>
            <w:tcW w:w="657" w:type="dxa"/>
            <w:shd w:val="clear" w:color="auto" w:fill="auto"/>
            <w:noWrap/>
            <w:hideMark/>
          </w:tcPr>
          <w:p w14:paraId="59CB262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-.261</w:t>
            </w:r>
            <w:r w:rsidRPr="000B490A">
              <w:rPr>
                <w:rFonts w:asciiTheme="majorBidi" w:hAnsiTheme="majorBidi" w:cstheme="majorBidi"/>
                <w:sz w:val="18"/>
                <w:szCs w:val="18"/>
                <w:vertAlign w:val="superscript"/>
              </w:rPr>
              <w:t>**</w:t>
            </w:r>
          </w:p>
        </w:tc>
        <w:tc>
          <w:tcPr>
            <w:tcW w:w="657" w:type="dxa"/>
            <w:shd w:val="clear" w:color="auto" w:fill="auto"/>
            <w:noWrap/>
            <w:hideMark/>
          </w:tcPr>
          <w:p w14:paraId="6182E20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7" w:type="dxa"/>
            <w:shd w:val="clear" w:color="auto" w:fill="auto"/>
            <w:noWrap/>
            <w:hideMark/>
          </w:tcPr>
          <w:p w14:paraId="75272F0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-.169</w:t>
            </w:r>
            <w:r w:rsidRPr="000B490A">
              <w:rPr>
                <w:rFonts w:asciiTheme="majorBidi" w:hAnsiTheme="majorBidi" w:cstheme="majorBidi"/>
                <w:sz w:val="18"/>
                <w:szCs w:val="18"/>
                <w:vertAlign w:val="superscript"/>
              </w:rPr>
              <w:t>**</w:t>
            </w:r>
          </w:p>
        </w:tc>
        <w:tc>
          <w:tcPr>
            <w:tcW w:w="658" w:type="dxa"/>
            <w:shd w:val="clear" w:color="auto" w:fill="auto"/>
            <w:noWrap/>
            <w:hideMark/>
          </w:tcPr>
          <w:p w14:paraId="7B4396E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-.170</w:t>
            </w:r>
            <w:r w:rsidRPr="000B490A">
              <w:rPr>
                <w:rFonts w:asciiTheme="majorBidi" w:hAnsiTheme="majorBidi" w:cstheme="majorBidi"/>
                <w:sz w:val="18"/>
                <w:szCs w:val="18"/>
                <w:vertAlign w:val="superscript"/>
              </w:rPr>
              <w:t>**</w:t>
            </w:r>
          </w:p>
        </w:tc>
        <w:tc>
          <w:tcPr>
            <w:tcW w:w="657" w:type="dxa"/>
            <w:shd w:val="clear" w:color="auto" w:fill="auto"/>
            <w:noWrap/>
            <w:hideMark/>
          </w:tcPr>
          <w:p w14:paraId="6B01E04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-.173</w:t>
            </w:r>
            <w:r w:rsidRPr="000B490A">
              <w:rPr>
                <w:rFonts w:asciiTheme="majorBidi" w:hAnsiTheme="majorBidi" w:cstheme="majorBidi"/>
                <w:sz w:val="18"/>
                <w:szCs w:val="18"/>
                <w:vertAlign w:val="superscript"/>
              </w:rPr>
              <w:t>**</w:t>
            </w:r>
          </w:p>
        </w:tc>
        <w:tc>
          <w:tcPr>
            <w:tcW w:w="657" w:type="dxa"/>
            <w:shd w:val="clear" w:color="auto" w:fill="auto"/>
            <w:noWrap/>
            <w:hideMark/>
          </w:tcPr>
          <w:p w14:paraId="4206106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-.155</w:t>
            </w:r>
            <w:r w:rsidRPr="000B490A">
              <w:rPr>
                <w:rFonts w:asciiTheme="majorBidi" w:hAnsiTheme="majorBidi" w:cstheme="majorBidi"/>
                <w:sz w:val="18"/>
                <w:szCs w:val="18"/>
                <w:vertAlign w:val="superscript"/>
              </w:rPr>
              <w:t>**</w:t>
            </w:r>
          </w:p>
        </w:tc>
        <w:tc>
          <w:tcPr>
            <w:tcW w:w="657" w:type="dxa"/>
            <w:shd w:val="clear" w:color="auto" w:fill="auto"/>
            <w:noWrap/>
            <w:hideMark/>
          </w:tcPr>
          <w:p w14:paraId="7DB149E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-.069</w:t>
            </w:r>
            <w:r w:rsidRPr="000B490A">
              <w:rPr>
                <w:rFonts w:asciiTheme="majorBidi" w:hAnsiTheme="majorBidi" w:cstheme="majorBidi"/>
                <w:sz w:val="18"/>
                <w:szCs w:val="18"/>
                <w:vertAlign w:val="superscript"/>
              </w:rPr>
              <w:t>**</w:t>
            </w:r>
          </w:p>
        </w:tc>
        <w:tc>
          <w:tcPr>
            <w:tcW w:w="658" w:type="dxa"/>
            <w:shd w:val="clear" w:color="auto" w:fill="auto"/>
            <w:noWrap/>
            <w:hideMark/>
          </w:tcPr>
          <w:p w14:paraId="156D7CD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-.182</w:t>
            </w:r>
            <w:r w:rsidRPr="000B490A">
              <w:rPr>
                <w:rFonts w:asciiTheme="majorBidi" w:hAnsiTheme="majorBidi" w:cstheme="majorBidi"/>
                <w:sz w:val="18"/>
                <w:szCs w:val="18"/>
                <w:vertAlign w:val="superscript"/>
              </w:rPr>
              <w:t>**</w:t>
            </w:r>
          </w:p>
        </w:tc>
        <w:tc>
          <w:tcPr>
            <w:tcW w:w="657" w:type="dxa"/>
            <w:shd w:val="clear" w:color="auto" w:fill="auto"/>
            <w:noWrap/>
            <w:hideMark/>
          </w:tcPr>
          <w:p w14:paraId="2459F32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-.164</w:t>
            </w:r>
            <w:r w:rsidRPr="000B490A">
              <w:rPr>
                <w:rFonts w:asciiTheme="majorBidi" w:hAnsiTheme="majorBidi" w:cstheme="majorBidi"/>
                <w:sz w:val="18"/>
                <w:szCs w:val="18"/>
                <w:vertAlign w:val="superscript"/>
              </w:rPr>
              <w:t>**</w:t>
            </w:r>
          </w:p>
        </w:tc>
        <w:tc>
          <w:tcPr>
            <w:tcW w:w="657" w:type="dxa"/>
            <w:shd w:val="clear" w:color="auto" w:fill="auto"/>
            <w:noWrap/>
            <w:hideMark/>
          </w:tcPr>
          <w:p w14:paraId="29D1225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-.163</w:t>
            </w:r>
            <w:r w:rsidRPr="000B490A">
              <w:rPr>
                <w:rFonts w:asciiTheme="majorBidi" w:hAnsiTheme="majorBidi" w:cstheme="majorBidi"/>
                <w:sz w:val="18"/>
                <w:szCs w:val="18"/>
                <w:vertAlign w:val="superscript"/>
              </w:rPr>
              <w:t>**</w:t>
            </w:r>
          </w:p>
        </w:tc>
        <w:tc>
          <w:tcPr>
            <w:tcW w:w="657" w:type="dxa"/>
            <w:shd w:val="clear" w:color="auto" w:fill="auto"/>
            <w:noWrap/>
            <w:hideMark/>
          </w:tcPr>
          <w:p w14:paraId="571F25E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-.182</w:t>
            </w:r>
            <w:r w:rsidRPr="000B490A">
              <w:rPr>
                <w:rFonts w:asciiTheme="majorBidi" w:hAnsiTheme="majorBidi" w:cstheme="majorBidi"/>
                <w:sz w:val="18"/>
                <w:szCs w:val="18"/>
                <w:vertAlign w:val="superscript"/>
              </w:rPr>
              <w:t>**</w:t>
            </w:r>
          </w:p>
        </w:tc>
        <w:tc>
          <w:tcPr>
            <w:tcW w:w="658" w:type="dxa"/>
            <w:shd w:val="clear" w:color="auto" w:fill="auto"/>
            <w:noWrap/>
            <w:hideMark/>
          </w:tcPr>
          <w:p w14:paraId="60FE78B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.261</w:t>
            </w:r>
            <w:r w:rsidRPr="000B490A">
              <w:rPr>
                <w:rFonts w:asciiTheme="majorBidi" w:hAnsiTheme="majorBidi" w:cstheme="majorBidi"/>
                <w:sz w:val="18"/>
                <w:szCs w:val="18"/>
                <w:vertAlign w:val="superscript"/>
              </w:rPr>
              <w:t>**</w:t>
            </w:r>
          </w:p>
        </w:tc>
        <w:tc>
          <w:tcPr>
            <w:tcW w:w="657" w:type="dxa"/>
            <w:shd w:val="clear" w:color="auto" w:fill="auto"/>
            <w:noWrap/>
            <w:hideMark/>
          </w:tcPr>
          <w:p w14:paraId="1D6913B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-.122</w:t>
            </w:r>
            <w:r w:rsidRPr="000B490A">
              <w:rPr>
                <w:rFonts w:asciiTheme="majorBidi" w:hAnsiTheme="majorBidi" w:cstheme="majorBidi"/>
                <w:sz w:val="18"/>
                <w:szCs w:val="18"/>
                <w:vertAlign w:val="superscript"/>
              </w:rPr>
              <w:t>**</w:t>
            </w:r>
          </w:p>
        </w:tc>
        <w:tc>
          <w:tcPr>
            <w:tcW w:w="657" w:type="dxa"/>
            <w:shd w:val="clear" w:color="auto" w:fill="auto"/>
            <w:noWrap/>
            <w:hideMark/>
          </w:tcPr>
          <w:p w14:paraId="63261F2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-.077</w:t>
            </w:r>
            <w:r w:rsidRPr="000B490A">
              <w:rPr>
                <w:rFonts w:asciiTheme="majorBidi" w:hAnsiTheme="majorBidi" w:cstheme="majorBidi"/>
                <w:sz w:val="18"/>
                <w:szCs w:val="18"/>
                <w:vertAlign w:val="superscript"/>
              </w:rPr>
              <w:t>**</w:t>
            </w:r>
          </w:p>
        </w:tc>
        <w:tc>
          <w:tcPr>
            <w:tcW w:w="658" w:type="dxa"/>
          </w:tcPr>
          <w:p w14:paraId="48862CE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-.055</w:t>
            </w:r>
            <w:r w:rsidRPr="000B490A">
              <w:rPr>
                <w:rFonts w:asciiTheme="majorBidi" w:hAnsiTheme="majorBidi" w:cstheme="majorBidi"/>
                <w:sz w:val="18"/>
                <w:szCs w:val="18"/>
                <w:vertAlign w:val="superscript"/>
              </w:rPr>
              <w:t>**</w:t>
            </w:r>
          </w:p>
        </w:tc>
        <w:tc>
          <w:tcPr>
            <w:tcW w:w="658" w:type="dxa"/>
            <w:shd w:val="clear" w:color="auto" w:fill="auto"/>
            <w:noWrap/>
            <w:hideMark/>
          </w:tcPr>
          <w:p w14:paraId="5E757EE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-.064</w:t>
            </w:r>
            <w:r w:rsidRPr="000B490A">
              <w:rPr>
                <w:rFonts w:asciiTheme="majorBidi" w:hAnsiTheme="majorBidi" w:cstheme="majorBidi"/>
                <w:sz w:val="18"/>
                <w:szCs w:val="18"/>
                <w:vertAlign w:val="superscript"/>
              </w:rPr>
              <w:t>**</w:t>
            </w:r>
          </w:p>
        </w:tc>
        <w:tc>
          <w:tcPr>
            <w:tcW w:w="658" w:type="dxa"/>
          </w:tcPr>
          <w:p w14:paraId="5C92F7E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-.030</w:t>
            </w:r>
            <w:r w:rsidRPr="000B490A">
              <w:rPr>
                <w:rFonts w:asciiTheme="majorBidi" w:hAnsiTheme="majorBidi" w:cstheme="majorBidi"/>
                <w:sz w:val="18"/>
                <w:szCs w:val="18"/>
                <w:vertAlign w:val="superscript"/>
              </w:rPr>
              <w:t>**</w:t>
            </w:r>
          </w:p>
        </w:tc>
      </w:tr>
      <w:tr w:rsidR="00EA313E" w:rsidRPr="00E22546" w14:paraId="18BDDF30" w14:textId="77777777" w:rsidTr="00F42F0F">
        <w:tc>
          <w:tcPr>
            <w:tcW w:w="1968" w:type="dxa"/>
            <w:shd w:val="clear" w:color="auto" w:fill="auto"/>
            <w:noWrap/>
            <w:vAlign w:val="bottom"/>
            <w:hideMark/>
          </w:tcPr>
          <w:p w14:paraId="5D38BC9A"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Big4</w:t>
            </w:r>
          </w:p>
        </w:tc>
        <w:tc>
          <w:tcPr>
            <w:tcW w:w="657" w:type="dxa"/>
            <w:shd w:val="clear" w:color="auto" w:fill="auto"/>
            <w:noWrap/>
            <w:hideMark/>
          </w:tcPr>
          <w:p w14:paraId="64A8380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0.013</w:t>
            </w:r>
          </w:p>
        </w:tc>
        <w:tc>
          <w:tcPr>
            <w:tcW w:w="657" w:type="dxa"/>
            <w:shd w:val="clear" w:color="auto" w:fill="auto"/>
            <w:noWrap/>
            <w:hideMark/>
          </w:tcPr>
          <w:p w14:paraId="247B88A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-.169</w:t>
            </w:r>
            <w:r w:rsidRPr="000B490A">
              <w:rPr>
                <w:rFonts w:asciiTheme="majorBidi" w:hAnsiTheme="majorBidi" w:cstheme="majorBidi"/>
                <w:sz w:val="18"/>
                <w:szCs w:val="18"/>
                <w:vertAlign w:val="superscript"/>
              </w:rPr>
              <w:t>**</w:t>
            </w:r>
          </w:p>
        </w:tc>
        <w:tc>
          <w:tcPr>
            <w:tcW w:w="657" w:type="dxa"/>
            <w:shd w:val="clear" w:color="auto" w:fill="auto"/>
            <w:noWrap/>
            <w:hideMark/>
          </w:tcPr>
          <w:p w14:paraId="3236CD3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8" w:type="dxa"/>
            <w:shd w:val="clear" w:color="auto" w:fill="auto"/>
            <w:noWrap/>
            <w:hideMark/>
          </w:tcPr>
          <w:p w14:paraId="7B6B2FD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.035</w:t>
            </w:r>
            <w:r w:rsidRPr="000B490A">
              <w:rPr>
                <w:rFonts w:asciiTheme="majorBidi" w:hAnsiTheme="majorBidi" w:cstheme="majorBidi"/>
                <w:sz w:val="18"/>
                <w:szCs w:val="18"/>
                <w:vertAlign w:val="superscript"/>
              </w:rPr>
              <w:t>**</w:t>
            </w:r>
          </w:p>
        </w:tc>
        <w:tc>
          <w:tcPr>
            <w:tcW w:w="657" w:type="dxa"/>
            <w:shd w:val="clear" w:color="auto" w:fill="auto"/>
            <w:noWrap/>
            <w:hideMark/>
          </w:tcPr>
          <w:p w14:paraId="5A18014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.021</w:t>
            </w:r>
            <w:r w:rsidRPr="000B490A">
              <w:rPr>
                <w:rFonts w:asciiTheme="majorBidi" w:hAnsiTheme="majorBidi" w:cstheme="majorBidi"/>
                <w:sz w:val="18"/>
                <w:szCs w:val="18"/>
                <w:vertAlign w:val="superscript"/>
              </w:rPr>
              <w:t>*</w:t>
            </w:r>
          </w:p>
        </w:tc>
        <w:tc>
          <w:tcPr>
            <w:tcW w:w="657" w:type="dxa"/>
            <w:shd w:val="clear" w:color="auto" w:fill="auto"/>
            <w:noWrap/>
            <w:hideMark/>
          </w:tcPr>
          <w:p w14:paraId="65F70D3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-.040</w:t>
            </w:r>
            <w:r w:rsidRPr="000B490A">
              <w:rPr>
                <w:rFonts w:asciiTheme="majorBidi" w:hAnsiTheme="majorBidi" w:cstheme="majorBidi"/>
                <w:sz w:val="18"/>
                <w:szCs w:val="18"/>
                <w:vertAlign w:val="superscript"/>
              </w:rPr>
              <w:t>**</w:t>
            </w:r>
          </w:p>
        </w:tc>
        <w:tc>
          <w:tcPr>
            <w:tcW w:w="657" w:type="dxa"/>
            <w:shd w:val="clear" w:color="auto" w:fill="auto"/>
            <w:noWrap/>
            <w:hideMark/>
          </w:tcPr>
          <w:p w14:paraId="51C3B95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.035</w:t>
            </w:r>
            <w:r w:rsidRPr="000B490A">
              <w:rPr>
                <w:rFonts w:asciiTheme="majorBidi" w:hAnsiTheme="majorBidi" w:cstheme="majorBidi"/>
                <w:sz w:val="18"/>
                <w:szCs w:val="18"/>
                <w:vertAlign w:val="superscript"/>
              </w:rPr>
              <w:t>**</w:t>
            </w:r>
          </w:p>
        </w:tc>
        <w:tc>
          <w:tcPr>
            <w:tcW w:w="658" w:type="dxa"/>
            <w:shd w:val="clear" w:color="auto" w:fill="auto"/>
            <w:noWrap/>
            <w:hideMark/>
          </w:tcPr>
          <w:p w14:paraId="5CA968A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-.049</w:t>
            </w:r>
            <w:r w:rsidRPr="000B490A">
              <w:rPr>
                <w:rFonts w:asciiTheme="majorBidi" w:hAnsiTheme="majorBidi" w:cstheme="majorBidi"/>
                <w:sz w:val="18"/>
                <w:szCs w:val="18"/>
                <w:vertAlign w:val="superscript"/>
              </w:rPr>
              <w:t>**</w:t>
            </w:r>
          </w:p>
        </w:tc>
        <w:tc>
          <w:tcPr>
            <w:tcW w:w="657" w:type="dxa"/>
            <w:shd w:val="clear" w:color="auto" w:fill="auto"/>
            <w:noWrap/>
            <w:hideMark/>
          </w:tcPr>
          <w:p w14:paraId="6A210E7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-.042</w:t>
            </w:r>
            <w:r w:rsidRPr="000B490A">
              <w:rPr>
                <w:rFonts w:asciiTheme="majorBidi" w:hAnsiTheme="majorBidi" w:cstheme="majorBidi"/>
                <w:sz w:val="18"/>
                <w:szCs w:val="18"/>
                <w:vertAlign w:val="superscript"/>
              </w:rPr>
              <w:t>**</w:t>
            </w:r>
          </w:p>
        </w:tc>
        <w:tc>
          <w:tcPr>
            <w:tcW w:w="657" w:type="dxa"/>
            <w:shd w:val="clear" w:color="auto" w:fill="auto"/>
            <w:noWrap/>
            <w:hideMark/>
          </w:tcPr>
          <w:p w14:paraId="113584E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-.050</w:t>
            </w:r>
            <w:r w:rsidRPr="000B490A">
              <w:rPr>
                <w:rFonts w:asciiTheme="majorBidi" w:hAnsiTheme="majorBidi" w:cstheme="majorBidi"/>
                <w:sz w:val="18"/>
                <w:szCs w:val="18"/>
                <w:vertAlign w:val="superscript"/>
              </w:rPr>
              <w:t>**</w:t>
            </w:r>
          </w:p>
        </w:tc>
        <w:tc>
          <w:tcPr>
            <w:tcW w:w="657" w:type="dxa"/>
            <w:shd w:val="clear" w:color="auto" w:fill="auto"/>
            <w:noWrap/>
            <w:hideMark/>
          </w:tcPr>
          <w:p w14:paraId="4D37CA2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-.031</w:t>
            </w:r>
            <w:r w:rsidRPr="000B490A">
              <w:rPr>
                <w:rFonts w:asciiTheme="majorBidi" w:hAnsiTheme="majorBidi" w:cstheme="majorBidi"/>
                <w:sz w:val="18"/>
                <w:szCs w:val="18"/>
                <w:vertAlign w:val="superscript"/>
              </w:rPr>
              <w:t>**</w:t>
            </w:r>
          </w:p>
        </w:tc>
        <w:tc>
          <w:tcPr>
            <w:tcW w:w="658" w:type="dxa"/>
            <w:shd w:val="clear" w:color="auto" w:fill="auto"/>
            <w:noWrap/>
            <w:hideMark/>
          </w:tcPr>
          <w:p w14:paraId="70527A1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.046</w:t>
            </w:r>
            <w:r w:rsidRPr="000B490A">
              <w:rPr>
                <w:rFonts w:asciiTheme="majorBidi" w:hAnsiTheme="majorBidi" w:cstheme="majorBidi"/>
                <w:sz w:val="18"/>
                <w:szCs w:val="18"/>
                <w:vertAlign w:val="superscript"/>
              </w:rPr>
              <w:t>**</w:t>
            </w:r>
          </w:p>
        </w:tc>
        <w:tc>
          <w:tcPr>
            <w:tcW w:w="657" w:type="dxa"/>
            <w:shd w:val="clear" w:color="auto" w:fill="auto"/>
            <w:noWrap/>
            <w:hideMark/>
          </w:tcPr>
          <w:p w14:paraId="27232C0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.097</w:t>
            </w:r>
            <w:r w:rsidRPr="000B490A">
              <w:rPr>
                <w:rFonts w:asciiTheme="majorBidi" w:hAnsiTheme="majorBidi" w:cstheme="majorBidi"/>
                <w:sz w:val="18"/>
                <w:szCs w:val="18"/>
                <w:vertAlign w:val="superscript"/>
              </w:rPr>
              <w:t>**</w:t>
            </w:r>
          </w:p>
        </w:tc>
        <w:tc>
          <w:tcPr>
            <w:tcW w:w="657" w:type="dxa"/>
            <w:shd w:val="clear" w:color="auto" w:fill="auto"/>
            <w:noWrap/>
            <w:hideMark/>
          </w:tcPr>
          <w:p w14:paraId="0B5D210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.034</w:t>
            </w:r>
            <w:r w:rsidRPr="000B490A">
              <w:rPr>
                <w:rFonts w:asciiTheme="majorBidi" w:hAnsiTheme="majorBidi" w:cstheme="majorBidi"/>
                <w:sz w:val="18"/>
                <w:szCs w:val="18"/>
                <w:vertAlign w:val="superscript"/>
              </w:rPr>
              <w:t>**</w:t>
            </w:r>
          </w:p>
        </w:tc>
        <w:tc>
          <w:tcPr>
            <w:tcW w:w="658" w:type="dxa"/>
          </w:tcPr>
          <w:p w14:paraId="0EC8AF2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.028</w:t>
            </w:r>
            <w:r w:rsidRPr="000B490A">
              <w:rPr>
                <w:rFonts w:asciiTheme="majorBidi" w:hAnsiTheme="majorBidi" w:cstheme="majorBidi"/>
                <w:sz w:val="18"/>
                <w:szCs w:val="18"/>
                <w:vertAlign w:val="superscript"/>
              </w:rPr>
              <w:t>**</w:t>
            </w:r>
          </w:p>
        </w:tc>
        <w:tc>
          <w:tcPr>
            <w:tcW w:w="658" w:type="dxa"/>
            <w:shd w:val="clear" w:color="auto" w:fill="auto"/>
            <w:noWrap/>
            <w:hideMark/>
          </w:tcPr>
          <w:p w14:paraId="43F4726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-.026</w:t>
            </w:r>
            <w:r w:rsidRPr="000B490A">
              <w:rPr>
                <w:rFonts w:asciiTheme="majorBidi" w:hAnsiTheme="majorBidi" w:cstheme="majorBidi"/>
                <w:sz w:val="18"/>
                <w:szCs w:val="18"/>
                <w:vertAlign w:val="superscript"/>
              </w:rPr>
              <w:t>*</w:t>
            </w:r>
          </w:p>
        </w:tc>
        <w:tc>
          <w:tcPr>
            <w:tcW w:w="658" w:type="dxa"/>
          </w:tcPr>
          <w:p w14:paraId="13D6210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-0.001</w:t>
            </w:r>
          </w:p>
        </w:tc>
      </w:tr>
      <w:tr w:rsidR="00EA313E" w:rsidRPr="00E22546" w14:paraId="63B8A116" w14:textId="77777777" w:rsidTr="00F42F0F">
        <w:tc>
          <w:tcPr>
            <w:tcW w:w="1968" w:type="dxa"/>
            <w:shd w:val="clear" w:color="auto" w:fill="auto"/>
            <w:noWrap/>
            <w:vAlign w:val="bottom"/>
            <w:hideMark/>
          </w:tcPr>
          <w:p w14:paraId="4727FF84"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Return on Assets</w:t>
            </w:r>
          </w:p>
        </w:tc>
        <w:tc>
          <w:tcPr>
            <w:tcW w:w="657" w:type="dxa"/>
            <w:shd w:val="clear" w:color="auto" w:fill="auto"/>
            <w:noWrap/>
            <w:hideMark/>
          </w:tcPr>
          <w:p w14:paraId="648244F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.150</w:t>
            </w:r>
            <w:r w:rsidRPr="000B490A">
              <w:rPr>
                <w:rFonts w:asciiTheme="majorBidi" w:hAnsiTheme="majorBidi" w:cstheme="majorBidi"/>
                <w:sz w:val="18"/>
                <w:szCs w:val="18"/>
                <w:vertAlign w:val="superscript"/>
              </w:rPr>
              <w:t>**</w:t>
            </w:r>
          </w:p>
        </w:tc>
        <w:tc>
          <w:tcPr>
            <w:tcW w:w="657" w:type="dxa"/>
            <w:shd w:val="clear" w:color="auto" w:fill="auto"/>
            <w:noWrap/>
            <w:hideMark/>
          </w:tcPr>
          <w:p w14:paraId="749BB12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-.170</w:t>
            </w:r>
            <w:r w:rsidRPr="000B490A">
              <w:rPr>
                <w:rFonts w:asciiTheme="majorBidi" w:hAnsiTheme="majorBidi" w:cstheme="majorBidi"/>
                <w:sz w:val="18"/>
                <w:szCs w:val="18"/>
                <w:vertAlign w:val="superscript"/>
              </w:rPr>
              <w:t>**</w:t>
            </w:r>
          </w:p>
        </w:tc>
        <w:tc>
          <w:tcPr>
            <w:tcW w:w="657" w:type="dxa"/>
            <w:shd w:val="clear" w:color="auto" w:fill="auto"/>
            <w:noWrap/>
            <w:hideMark/>
          </w:tcPr>
          <w:p w14:paraId="13E8430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.035</w:t>
            </w:r>
            <w:r w:rsidRPr="000B490A">
              <w:rPr>
                <w:rFonts w:asciiTheme="majorBidi" w:hAnsiTheme="majorBidi" w:cstheme="majorBidi"/>
                <w:sz w:val="18"/>
                <w:szCs w:val="18"/>
                <w:vertAlign w:val="superscript"/>
              </w:rPr>
              <w:t>**</w:t>
            </w:r>
          </w:p>
        </w:tc>
        <w:tc>
          <w:tcPr>
            <w:tcW w:w="658" w:type="dxa"/>
            <w:shd w:val="clear" w:color="auto" w:fill="auto"/>
            <w:noWrap/>
            <w:hideMark/>
          </w:tcPr>
          <w:p w14:paraId="5060CC0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7" w:type="dxa"/>
            <w:shd w:val="clear" w:color="auto" w:fill="auto"/>
            <w:noWrap/>
            <w:hideMark/>
          </w:tcPr>
          <w:p w14:paraId="2C80B40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.231</w:t>
            </w:r>
            <w:r w:rsidRPr="000B490A">
              <w:rPr>
                <w:rFonts w:asciiTheme="majorBidi" w:hAnsiTheme="majorBidi" w:cstheme="majorBidi"/>
                <w:sz w:val="18"/>
                <w:szCs w:val="18"/>
                <w:vertAlign w:val="superscript"/>
              </w:rPr>
              <w:t>**</w:t>
            </w:r>
          </w:p>
        </w:tc>
        <w:tc>
          <w:tcPr>
            <w:tcW w:w="657" w:type="dxa"/>
            <w:shd w:val="clear" w:color="auto" w:fill="auto"/>
            <w:noWrap/>
            <w:hideMark/>
          </w:tcPr>
          <w:p w14:paraId="6087A8A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.196</w:t>
            </w:r>
            <w:r w:rsidRPr="000B490A">
              <w:rPr>
                <w:rFonts w:asciiTheme="majorBidi" w:hAnsiTheme="majorBidi" w:cstheme="majorBidi"/>
                <w:sz w:val="18"/>
                <w:szCs w:val="18"/>
                <w:vertAlign w:val="superscript"/>
              </w:rPr>
              <w:t>**</w:t>
            </w:r>
          </w:p>
        </w:tc>
        <w:tc>
          <w:tcPr>
            <w:tcW w:w="657" w:type="dxa"/>
            <w:shd w:val="clear" w:color="auto" w:fill="auto"/>
            <w:noWrap/>
            <w:hideMark/>
          </w:tcPr>
          <w:p w14:paraId="4F5D809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.080</w:t>
            </w:r>
            <w:r w:rsidRPr="000B490A">
              <w:rPr>
                <w:rFonts w:asciiTheme="majorBidi" w:hAnsiTheme="majorBidi" w:cstheme="majorBidi"/>
                <w:sz w:val="18"/>
                <w:szCs w:val="18"/>
                <w:vertAlign w:val="superscript"/>
              </w:rPr>
              <w:t>**</w:t>
            </w:r>
          </w:p>
        </w:tc>
        <w:tc>
          <w:tcPr>
            <w:tcW w:w="658" w:type="dxa"/>
            <w:shd w:val="clear" w:color="auto" w:fill="auto"/>
            <w:noWrap/>
            <w:hideMark/>
          </w:tcPr>
          <w:p w14:paraId="511AA84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.202</w:t>
            </w:r>
            <w:r w:rsidRPr="000B490A">
              <w:rPr>
                <w:rFonts w:asciiTheme="majorBidi" w:hAnsiTheme="majorBidi" w:cstheme="majorBidi"/>
                <w:sz w:val="18"/>
                <w:szCs w:val="18"/>
                <w:vertAlign w:val="superscript"/>
              </w:rPr>
              <w:t>**</w:t>
            </w:r>
          </w:p>
        </w:tc>
        <w:tc>
          <w:tcPr>
            <w:tcW w:w="657" w:type="dxa"/>
            <w:shd w:val="clear" w:color="auto" w:fill="auto"/>
            <w:noWrap/>
            <w:hideMark/>
          </w:tcPr>
          <w:p w14:paraId="06B65E9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.175</w:t>
            </w:r>
            <w:r w:rsidRPr="000B490A">
              <w:rPr>
                <w:rFonts w:asciiTheme="majorBidi" w:hAnsiTheme="majorBidi" w:cstheme="majorBidi"/>
                <w:sz w:val="18"/>
                <w:szCs w:val="18"/>
                <w:vertAlign w:val="superscript"/>
              </w:rPr>
              <w:t>**</w:t>
            </w:r>
          </w:p>
        </w:tc>
        <w:tc>
          <w:tcPr>
            <w:tcW w:w="657" w:type="dxa"/>
            <w:shd w:val="clear" w:color="auto" w:fill="auto"/>
            <w:noWrap/>
            <w:hideMark/>
          </w:tcPr>
          <w:p w14:paraId="1D57CCE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.207</w:t>
            </w:r>
            <w:r w:rsidRPr="000B490A">
              <w:rPr>
                <w:rFonts w:asciiTheme="majorBidi" w:hAnsiTheme="majorBidi" w:cstheme="majorBidi"/>
                <w:sz w:val="18"/>
                <w:szCs w:val="18"/>
                <w:vertAlign w:val="superscript"/>
              </w:rPr>
              <w:t>**</w:t>
            </w:r>
          </w:p>
        </w:tc>
        <w:tc>
          <w:tcPr>
            <w:tcW w:w="657" w:type="dxa"/>
            <w:shd w:val="clear" w:color="auto" w:fill="auto"/>
            <w:noWrap/>
            <w:hideMark/>
          </w:tcPr>
          <w:p w14:paraId="4C5C920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.168</w:t>
            </w:r>
            <w:r w:rsidRPr="000B490A">
              <w:rPr>
                <w:rFonts w:asciiTheme="majorBidi" w:hAnsiTheme="majorBidi" w:cstheme="majorBidi"/>
                <w:sz w:val="18"/>
                <w:szCs w:val="18"/>
                <w:vertAlign w:val="superscript"/>
              </w:rPr>
              <w:t>**</w:t>
            </w:r>
          </w:p>
        </w:tc>
        <w:tc>
          <w:tcPr>
            <w:tcW w:w="658" w:type="dxa"/>
            <w:shd w:val="clear" w:color="auto" w:fill="auto"/>
            <w:noWrap/>
            <w:hideMark/>
          </w:tcPr>
          <w:p w14:paraId="165B2E2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-.298</w:t>
            </w:r>
            <w:r w:rsidRPr="000B490A">
              <w:rPr>
                <w:rFonts w:asciiTheme="majorBidi" w:hAnsiTheme="majorBidi" w:cstheme="majorBidi"/>
                <w:sz w:val="18"/>
                <w:szCs w:val="18"/>
                <w:vertAlign w:val="superscript"/>
              </w:rPr>
              <w:t>**</w:t>
            </w:r>
          </w:p>
        </w:tc>
        <w:tc>
          <w:tcPr>
            <w:tcW w:w="657" w:type="dxa"/>
            <w:shd w:val="clear" w:color="auto" w:fill="auto"/>
            <w:noWrap/>
            <w:hideMark/>
          </w:tcPr>
          <w:p w14:paraId="430546B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.144</w:t>
            </w:r>
            <w:r w:rsidRPr="000B490A">
              <w:rPr>
                <w:rFonts w:asciiTheme="majorBidi" w:hAnsiTheme="majorBidi" w:cstheme="majorBidi"/>
                <w:sz w:val="18"/>
                <w:szCs w:val="18"/>
                <w:vertAlign w:val="superscript"/>
              </w:rPr>
              <w:t>**</w:t>
            </w:r>
          </w:p>
        </w:tc>
        <w:tc>
          <w:tcPr>
            <w:tcW w:w="657" w:type="dxa"/>
            <w:shd w:val="clear" w:color="auto" w:fill="auto"/>
            <w:noWrap/>
            <w:hideMark/>
          </w:tcPr>
          <w:p w14:paraId="3C7679B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.042</w:t>
            </w:r>
            <w:r w:rsidRPr="000B490A">
              <w:rPr>
                <w:rFonts w:asciiTheme="majorBidi" w:hAnsiTheme="majorBidi" w:cstheme="majorBidi"/>
                <w:sz w:val="18"/>
                <w:szCs w:val="18"/>
                <w:vertAlign w:val="superscript"/>
              </w:rPr>
              <w:t>**</w:t>
            </w:r>
          </w:p>
        </w:tc>
        <w:tc>
          <w:tcPr>
            <w:tcW w:w="658" w:type="dxa"/>
          </w:tcPr>
          <w:p w14:paraId="2828A49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.103</w:t>
            </w:r>
            <w:r w:rsidRPr="000B490A">
              <w:rPr>
                <w:rFonts w:asciiTheme="majorBidi" w:hAnsiTheme="majorBidi" w:cstheme="majorBidi"/>
                <w:sz w:val="18"/>
                <w:szCs w:val="18"/>
                <w:vertAlign w:val="superscript"/>
              </w:rPr>
              <w:t>**</w:t>
            </w:r>
          </w:p>
        </w:tc>
        <w:tc>
          <w:tcPr>
            <w:tcW w:w="658" w:type="dxa"/>
            <w:shd w:val="clear" w:color="auto" w:fill="auto"/>
            <w:noWrap/>
            <w:hideMark/>
          </w:tcPr>
          <w:p w14:paraId="3A3F34C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.111</w:t>
            </w:r>
            <w:r w:rsidRPr="000B490A">
              <w:rPr>
                <w:rFonts w:asciiTheme="majorBidi" w:hAnsiTheme="majorBidi" w:cstheme="majorBidi"/>
                <w:sz w:val="18"/>
                <w:szCs w:val="18"/>
                <w:vertAlign w:val="superscript"/>
              </w:rPr>
              <w:t>**</w:t>
            </w:r>
          </w:p>
        </w:tc>
        <w:tc>
          <w:tcPr>
            <w:tcW w:w="658" w:type="dxa"/>
          </w:tcPr>
          <w:p w14:paraId="25D7D2A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-.053</w:t>
            </w:r>
            <w:r w:rsidRPr="000B490A">
              <w:rPr>
                <w:rFonts w:asciiTheme="majorBidi" w:hAnsiTheme="majorBidi" w:cstheme="majorBidi"/>
                <w:sz w:val="18"/>
                <w:szCs w:val="18"/>
                <w:vertAlign w:val="superscript"/>
              </w:rPr>
              <w:t>**</w:t>
            </w:r>
          </w:p>
        </w:tc>
      </w:tr>
      <w:tr w:rsidR="00EA313E" w:rsidRPr="00E22546" w14:paraId="57172EB9" w14:textId="77777777" w:rsidTr="00F42F0F">
        <w:tc>
          <w:tcPr>
            <w:tcW w:w="1968" w:type="dxa"/>
            <w:shd w:val="clear" w:color="auto" w:fill="auto"/>
            <w:noWrap/>
            <w:vAlign w:val="bottom"/>
            <w:hideMark/>
          </w:tcPr>
          <w:p w14:paraId="3D08BC15"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Z-score</w:t>
            </w:r>
          </w:p>
        </w:tc>
        <w:tc>
          <w:tcPr>
            <w:tcW w:w="657" w:type="dxa"/>
            <w:shd w:val="clear" w:color="auto" w:fill="auto"/>
            <w:noWrap/>
            <w:hideMark/>
          </w:tcPr>
          <w:p w14:paraId="13244B7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.031</w:t>
            </w:r>
            <w:r w:rsidRPr="000B490A">
              <w:rPr>
                <w:rFonts w:asciiTheme="majorBidi" w:hAnsiTheme="majorBidi" w:cstheme="majorBidi"/>
                <w:sz w:val="18"/>
                <w:szCs w:val="18"/>
                <w:vertAlign w:val="superscript"/>
              </w:rPr>
              <w:t>**</w:t>
            </w:r>
          </w:p>
        </w:tc>
        <w:tc>
          <w:tcPr>
            <w:tcW w:w="657" w:type="dxa"/>
            <w:shd w:val="clear" w:color="auto" w:fill="auto"/>
            <w:noWrap/>
            <w:hideMark/>
          </w:tcPr>
          <w:p w14:paraId="72700C4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-.173</w:t>
            </w:r>
            <w:r w:rsidRPr="000B490A">
              <w:rPr>
                <w:rFonts w:asciiTheme="majorBidi" w:hAnsiTheme="majorBidi" w:cstheme="majorBidi"/>
                <w:sz w:val="18"/>
                <w:szCs w:val="18"/>
                <w:vertAlign w:val="superscript"/>
              </w:rPr>
              <w:t>**</w:t>
            </w:r>
          </w:p>
        </w:tc>
        <w:tc>
          <w:tcPr>
            <w:tcW w:w="657" w:type="dxa"/>
            <w:shd w:val="clear" w:color="auto" w:fill="auto"/>
            <w:noWrap/>
            <w:hideMark/>
          </w:tcPr>
          <w:p w14:paraId="4F93661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.021</w:t>
            </w:r>
            <w:r w:rsidRPr="000B490A">
              <w:rPr>
                <w:rFonts w:asciiTheme="majorBidi" w:hAnsiTheme="majorBidi" w:cstheme="majorBidi"/>
                <w:sz w:val="18"/>
                <w:szCs w:val="18"/>
                <w:vertAlign w:val="superscript"/>
              </w:rPr>
              <w:t>*</w:t>
            </w:r>
          </w:p>
        </w:tc>
        <w:tc>
          <w:tcPr>
            <w:tcW w:w="658" w:type="dxa"/>
            <w:shd w:val="clear" w:color="auto" w:fill="auto"/>
            <w:noWrap/>
            <w:hideMark/>
          </w:tcPr>
          <w:p w14:paraId="64C0750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.231</w:t>
            </w:r>
            <w:r w:rsidRPr="000B490A">
              <w:rPr>
                <w:rFonts w:asciiTheme="majorBidi" w:hAnsiTheme="majorBidi" w:cstheme="majorBidi"/>
                <w:sz w:val="18"/>
                <w:szCs w:val="18"/>
                <w:vertAlign w:val="superscript"/>
              </w:rPr>
              <w:t>**</w:t>
            </w:r>
          </w:p>
        </w:tc>
        <w:tc>
          <w:tcPr>
            <w:tcW w:w="657" w:type="dxa"/>
            <w:shd w:val="clear" w:color="auto" w:fill="auto"/>
            <w:noWrap/>
            <w:hideMark/>
          </w:tcPr>
          <w:p w14:paraId="4656138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7" w:type="dxa"/>
            <w:shd w:val="clear" w:color="auto" w:fill="auto"/>
            <w:noWrap/>
            <w:hideMark/>
          </w:tcPr>
          <w:p w14:paraId="6F385CF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.088</w:t>
            </w:r>
            <w:r w:rsidRPr="000B490A">
              <w:rPr>
                <w:rFonts w:asciiTheme="majorBidi" w:hAnsiTheme="majorBidi" w:cstheme="majorBidi"/>
                <w:sz w:val="18"/>
                <w:szCs w:val="18"/>
                <w:vertAlign w:val="superscript"/>
              </w:rPr>
              <w:t>**</w:t>
            </w:r>
          </w:p>
        </w:tc>
        <w:tc>
          <w:tcPr>
            <w:tcW w:w="657" w:type="dxa"/>
            <w:shd w:val="clear" w:color="auto" w:fill="auto"/>
            <w:noWrap/>
            <w:hideMark/>
          </w:tcPr>
          <w:p w14:paraId="6054372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.051</w:t>
            </w:r>
            <w:r w:rsidRPr="000B490A">
              <w:rPr>
                <w:rFonts w:asciiTheme="majorBidi" w:hAnsiTheme="majorBidi" w:cstheme="majorBidi"/>
                <w:sz w:val="18"/>
                <w:szCs w:val="18"/>
                <w:vertAlign w:val="superscript"/>
              </w:rPr>
              <w:t>**</w:t>
            </w:r>
          </w:p>
        </w:tc>
        <w:tc>
          <w:tcPr>
            <w:tcW w:w="658" w:type="dxa"/>
            <w:shd w:val="clear" w:color="auto" w:fill="auto"/>
            <w:noWrap/>
            <w:hideMark/>
          </w:tcPr>
          <w:p w14:paraId="19D53DC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.087</w:t>
            </w:r>
            <w:r w:rsidRPr="000B490A">
              <w:rPr>
                <w:rFonts w:asciiTheme="majorBidi" w:hAnsiTheme="majorBidi" w:cstheme="majorBidi"/>
                <w:sz w:val="18"/>
                <w:szCs w:val="18"/>
                <w:vertAlign w:val="superscript"/>
              </w:rPr>
              <w:t>**</w:t>
            </w:r>
          </w:p>
        </w:tc>
        <w:tc>
          <w:tcPr>
            <w:tcW w:w="657" w:type="dxa"/>
            <w:shd w:val="clear" w:color="auto" w:fill="auto"/>
            <w:noWrap/>
            <w:hideMark/>
          </w:tcPr>
          <w:p w14:paraId="24AF7D8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.071</w:t>
            </w:r>
            <w:r w:rsidRPr="000B490A">
              <w:rPr>
                <w:rFonts w:asciiTheme="majorBidi" w:hAnsiTheme="majorBidi" w:cstheme="majorBidi"/>
                <w:sz w:val="18"/>
                <w:szCs w:val="18"/>
                <w:vertAlign w:val="superscript"/>
              </w:rPr>
              <w:t>**</w:t>
            </w:r>
          </w:p>
        </w:tc>
        <w:tc>
          <w:tcPr>
            <w:tcW w:w="657" w:type="dxa"/>
            <w:shd w:val="clear" w:color="auto" w:fill="auto"/>
            <w:noWrap/>
            <w:hideMark/>
          </w:tcPr>
          <w:p w14:paraId="7B70023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.082</w:t>
            </w:r>
            <w:r w:rsidRPr="000B490A">
              <w:rPr>
                <w:rFonts w:asciiTheme="majorBidi" w:hAnsiTheme="majorBidi" w:cstheme="majorBidi"/>
                <w:sz w:val="18"/>
                <w:szCs w:val="18"/>
                <w:vertAlign w:val="superscript"/>
              </w:rPr>
              <w:t>**</w:t>
            </w:r>
          </w:p>
        </w:tc>
        <w:tc>
          <w:tcPr>
            <w:tcW w:w="657" w:type="dxa"/>
            <w:shd w:val="clear" w:color="auto" w:fill="auto"/>
            <w:noWrap/>
            <w:hideMark/>
          </w:tcPr>
          <w:p w14:paraId="1311746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.083</w:t>
            </w:r>
            <w:r w:rsidRPr="000B490A">
              <w:rPr>
                <w:rFonts w:asciiTheme="majorBidi" w:hAnsiTheme="majorBidi" w:cstheme="majorBidi"/>
                <w:sz w:val="18"/>
                <w:szCs w:val="18"/>
                <w:vertAlign w:val="superscript"/>
              </w:rPr>
              <w:t>**</w:t>
            </w:r>
          </w:p>
        </w:tc>
        <w:tc>
          <w:tcPr>
            <w:tcW w:w="658" w:type="dxa"/>
            <w:shd w:val="clear" w:color="auto" w:fill="auto"/>
            <w:noWrap/>
            <w:hideMark/>
          </w:tcPr>
          <w:p w14:paraId="1FAAB83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-.109</w:t>
            </w:r>
            <w:r w:rsidRPr="000B490A">
              <w:rPr>
                <w:rFonts w:asciiTheme="majorBidi" w:hAnsiTheme="majorBidi" w:cstheme="majorBidi"/>
                <w:sz w:val="18"/>
                <w:szCs w:val="18"/>
                <w:vertAlign w:val="superscript"/>
              </w:rPr>
              <w:t>**</w:t>
            </w:r>
          </w:p>
        </w:tc>
        <w:tc>
          <w:tcPr>
            <w:tcW w:w="657" w:type="dxa"/>
            <w:shd w:val="clear" w:color="auto" w:fill="auto"/>
            <w:noWrap/>
            <w:hideMark/>
          </w:tcPr>
          <w:p w14:paraId="736A871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.065</w:t>
            </w:r>
            <w:r w:rsidRPr="000B490A">
              <w:rPr>
                <w:rFonts w:asciiTheme="majorBidi" w:hAnsiTheme="majorBidi" w:cstheme="majorBidi"/>
                <w:sz w:val="18"/>
                <w:szCs w:val="18"/>
                <w:vertAlign w:val="superscript"/>
              </w:rPr>
              <w:t>**</w:t>
            </w:r>
          </w:p>
        </w:tc>
        <w:tc>
          <w:tcPr>
            <w:tcW w:w="657" w:type="dxa"/>
            <w:shd w:val="clear" w:color="auto" w:fill="auto"/>
            <w:noWrap/>
            <w:hideMark/>
          </w:tcPr>
          <w:p w14:paraId="58CDB7D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0.004</w:t>
            </w:r>
          </w:p>
        </w:tc>
        <w:tc>
          <w:tcPr>
            <w:tcW w:w="658" w:type="dxa"/>
          </w:tcPr>
          <w:p w14:paraId="6713041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0.010</w:t>
            </w:r>
          </w:p>
        </w:tc>
        <w:tc>
          <w:tcPr>
            <w:tcW w:w="658" w:type="dxa"/>
            <w:shd w:val="clear" w:color="auto" w:fill="auto"/>
            <w:noWrap/>
            <w:hideMark/>
          </w:tcPr>
          <w:p w14:paraId="5F9063F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.037</w:t>
            </w:r>
            <w:r w:rsidRPr="000B490A">
              <w:rPr>
                <w:rFonts w:asciiTheme="majorBidi" w:hAnsiTheme="majorBidi" w:cstheme="majorBidi"/>
                <w:sz w:val="18"/>
                <w:szCs w:val="18"/>
                <w:vertAlign w:val="superscript"/>
              </w:rPr>
              <w:t>**</w:t>
            </w:r>
          </w:p>
        </w:tc>
        <w:tc>
          <w:tcPr>
            <w:tcW w:w="658" w:type="dxa"/>
          </w:tcPr>
          <w:p w14:paraId="41578F0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.761</w:t>
            </w:r>
            <w:r w:rsidRPr="000B490A">
              <w:rPr>
                <w:rFonts w:asciiTheme="majorBidi" w:hAnsiTheme="majorBidi" w:cstheme="majorBidi"/>
                <w:sz w:val="18"/>
                <w:szCs w:val="18"/>
                <w:vertAlign w:val="superscript"/>
              </w:rPr>
              <w:t>**</w:t>
            </w:r>
          </w:p>
        </w:tc>
      </w:tr>
      <w:tr w:rsidR="00EA313E" w:rsidRPr="00E22546" w14:paraId="25F0E35D" w14:textId="77777777" w:rsidTr="00F42F0F">
        <w:tc>
          <w:tcPr>
            <w:tcW w:w="1968" w:type="dxa"/>
            <w:shd w:val="clear" w:color="auto" w:fill="auto"/>
            <w:noWrap/>
            <w:vAlign w:val="center"/>
            <w:hideMark/>
          </w:tcPr>
          <w:p w14:paraId="2F6862F9"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ESG Combined </w:t>
            </w:r>
          </w:p>
        </w:tc>
        <w:tc>
          <w:tcPr>
            <w:tcW w:w="657" w:type="dxa"/>
            <w:shd w:val="clear" w:color="auto" w:fill="auto"/>
            <w:noWrap/>
            <w:hideMark/>
          </w:tcPr>
          <w:p w14:paraId="52A9B64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.421</w:t>
            </w:r>
            <w:r w:rsidRPr="000B490A">
              <w:rPr>
                <w:rFonts w:asciiTheme="majorBidi" w:hAnsiTheme="majorBidi" w:cstheme="majorBidi"/>
                <w:sz w:val="18"/>
                <w:szCs w:val="18"/>
                <w:vertAlign w:val="superscript"/>
              </w:rPr>
              <w:t>**</w:t>
            </w:r>
          </w:p>
        </w:tc>
        <w:tc>
          <w:tcPr>
            <w:tcW w:w="657" w:type="dxa"/>
            <w:shd w:val="clear" w:color="auto" w:fill="auto"/>
            <w:noWrap/>
            <w:hideMark/>
          </w:tcPr>
          <w:p w14:paraId="53C2E17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-.155</w:t>
            </w:r>
            <w:r w:rsidRPr="000B490A">
              <w:rPr>
                <w:rFonts w:asciiTheme="majorBidi" w:hAnsiTheme="majorBidi" w:cstheme="majorBidi"/>
                <w:sz w:val="18"/>
                <w:szCs w:val="18"/>
                <w:vertAlign w:val="superscript"/>
              </w:rPr>
              <w:t>**</w:t>
            </w:r>
          </w:p>
        </w:tc>
        <w:tc>
          <w:tcPr>
            <w:tcW w:w="657" w:type="dxa"/>
            <w:shd w:val="clear" w:color="auto" w:fill="auto"/>
            <w:noWrap/>
            <w:hideMark/>
          </w:tcPr>
          <w:p w14:paraId="76506EF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-.040</w:t>
            </w:r>
            <w:r w:rsidRPr="000B490A">
              <w:rPr>
                <w:rFonts w:asciiTheme="majorBidi" w:hAnsiTheme="majorBidi" w:cstheme="majorBidi"/>
                <w:sz w:val="18"/>
                <w:szCs w:val="18"/>
                <w:vertAlign w:val="superscript"/>
              </w:rPr>
              <w:t>**</w:t>
            </w:r>
          </w:p>
        </w:tc>
        <w:tc>
          <w:tcPr>
            <w:tcW w:w="658" w:type="dxa"/>
            <w:shd w:val="clear" w:color="auto" w:fill="auto"/>
            <w:noWrap/>
            <w:hideMark/>
          </w:tcPr>
          <w:p w14:paraId="06BEDB2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.196</w:t>
            </w:r>
            <w:r w:rsidRPr="000B490A">
              <w:rPr>
                <w:rFonts w:asciiTheme="majorBidi" w:hAnsiTheme="majorBidi" w:cstheme="majorBidi"/>
                <w:sz w:val="18"/>
                <w:szCs w:val="18"/>
                <w:vertAlign w:val="superscript"/>
              </w:rPr>
              <w:t>**</w:t>
            </w:r>
          </w:p>
        </w:tc>
        <w:tc>
          <w:tcPr>
            <w:tcW w:w="657" w:type="dxa"/>
            <w:shd w:val="clear" w:color="auto" w:fill="auto"/>
            <w:noWrap/>
            <w:hideMark/>
          </w:tcPr>
          <w:p w14:paraId="62EAD2D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.088</w:t>
            </w:r>
            <w:r w:rsidRPr="000B490A">
              <w:rPr>
                <w:rFonts w:asciiTheme="majorBidi" w:hAnsiTheme="majorBidi" w:cstheme="majorBidi"/>
                <w:sz w:val="18"/>
                <w:szCs w:val="18"/>
                <w:vertAlign w:val="superscript"/>
              </w:rPr>
              <w:t>**</w:t>
            </w:r>
          </w:p>
        </w:tc>
        <w:tc>
          <w:tcPr>
            <w:tcW w:w="657" w:type="dxa"/>
            <w:shd w:val="clear" w:color="auto" w:fill="auto"/>
            <w:noWrap/>
            <w:hideMark/>
          </w:tcPr>
          <w:p w14:paraId="65A67FB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7" w:type="dxa"/>
            <w:shd w:val="clear" w:color="auto" w:fill="auto"/>
            <w:noWrap/>
            <w:hideMark/>
          </w:tcPr>
          <w:p w14:paraId="3F7F00A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.564</w:t>
            </w:r>
            <w:r w:rsidRPr="000B490A">
              <w:rPr>
                <w:rFonts w:asciiTheme="majorBidi" w:hAnsiTheme="majorBidi" w:cstheme="majorBidi"/>
                <w:sz w:val="18"/>
                <w:szCs w:val="18"/>
                <w:vertAlign w:val="superscript"/>
              </w:rPr>
              <w:t>**</w:t>
            </w:r>
          </w:p>
        </w:tc>
        <w:tc>
          <w:tcPr>
            <w:tcW w:w="658" w:type="dxa"/>
            <w:shd w:val="clear" w:color="auto" w:fill="auto"/>
            <w:noWrap/>
            <w:hideMark/>
          </w:tcPr>
          <w:p w14:paraId="0649BB3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.912</w:t>
            </w:r>
            <w:r w:rsidRPr="000B490A">
              <w:rPr>
                <w:rFonts w:asciiTheme="majorBidi" w:hAnsiTheme="majorBidi" w:cstheme="majorBidi"/>
                <w:sz w:val="18"/>
                <w:szCs w:val="18"/>
                <w:vertAlign w:val="superscript"/>
              </w:rPr>
              <w:t>**</w:t>
            </w:r>
          </w:p>
        </w:tc>
        <w:tc>
          <w:tcPr>
            <w:tcW w:w="657" w:type="dxa"/>
            <w:shd w:val="clear" w:color="auto" w:fill="auto"/>
            <w:noWrap/>
            <w:hideMark/>
          </w:tcPr>
          <w:p w14:paraId="55A0536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.809</w:t>
            </w:r>
            <w:r w:rsidRPr="000B490A">
              <w:rPr>
                <w:rFonts w:asciiTheme="majorBidi" w:hAnsiTheme="majorBidi" w:cstheme="majorBidi"/>
                <w:sz w:val="18"/>
                <w:szCs w:val="18"/>
                <w:vertAlign w:val="superscript"/>
              </w:rPr>
              <w:t>**</w:t>
            </w:r>
          </w:p>
        </w:tc>
        <w:tc>
          <w:tcPr>
            <w:tcW w:w="657" w:type="dxa"/>
            <w:shd w:val="clear" w:color="auto" w:fill="auto"/>
            <w:noWrap/>
            <w:hideMark/>
          </w:tcPr>
          <w:p w14:paraId="02AC33C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.870</w:t>
            </w:r>
            <w:r w:rsidRPr="000B490A">
              <w:rPr>
                <w:rFonts w:asciiTheme="majorBidi" w:hAnsiTheme="majorBidi" w:cstheme="majorBidi"/>
                <w:sz w:val="18"/>
                <w:szCs w:val="18"/>
                <w:vertAlign w:val="superscript"/>
              </w:rPr>
              <w:t>**</w:t>
            </w:r>
          </w:p>
        </w:tc>
        <w:tc>
          <w:tcPr>
            <w:tcW w:w="657" w:type="dxa"/>
            <w:shd w:val="clear" w:color="auto" w:fill="auto"/>
            <w:noWrap/>
            <w:hideMark/>
          </w:tcPr>
          <w:p w14:paraId="234BAE0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.819</w:t>
            </w:r>
            <w:r w:rsidRPr="000B490A">
              <w:rPr>
                <w:rFonts w:asciiTheme="majorBidi" w:hAnsiTheme="majorBidi" w:cstheme="majorBidi"/>
                <w:sz w:val="18"/>
                <w:szCs w:val="18"/>
                <w:vertAlign w:val="superscript"/>
              </w:rPr>
              <w:t>**</w:t>
            </w:r>
          </w:p>
        </w:tc>
        <w:tc>
          <w:tcPr>
            <w:tcW w:w="658" w:type="dxa"/>
            <w:shd w:val="clear" w:color="auto" w:fill="auto"/>
            <w:noWrap/>
            <w:hideMark/>
          </w:tcPr>
          <w:p w14:paraId="295F9CE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-.291</w:t>
            </w:r>
            <w:r w:rsidRPr="000B490A">
              <w:rPr>
                <w:rFonts w:asciiTheme="majorBidi" w:hAnsiTheme="majorBidi" w:cstheme="majorBidi"/>
                <w:sz w:val="18"/>
                <w:szCs w:val="18"/>
                <w:vertAlign w:val="superscript"/>
              </w:rPr>
              <w:t>**</w:t>
            </w:r>
          </w:p>
        </w:tc>
        <w:tc>
          <w:tcPr>
            <w:tcW w:w="657" w:type="dxa"/>
            <w:shd w:val="clear" w:color="auto" w:fill="auto"/>
            <w:noWrap/>
            <w:hideMark/>
          </w:tcPr>
          <w:p w14:paraId="5414404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.187</w:t>
            </w:r>
            <w:r w:rsidRPr="000B490A">
              <w:rPr>
                <w:rFonts w:asciiTheme="majorBidi" w:hAnsiTheme="majorBidi" w:cstheme="majorBidi"/>
                <w:sz w:val="18"/>
                <w:szCs w:val="18"/>
                <w:vertAlign w:val="superscript"/>
              </w:rPr>
              <w:t>**</w:t>
            </w:r>
          </w:p>
        </w:tc>
        <w:tc>
          <w:tcPr>
            <w:tcW w:w="657" w:type="dxa"/>
            <w:shd w:val="clear" w:color="auto" w:fill="auto"/>
            <w:noWrap/>
            <w:hideMark/>
          </w:tcPr>
          <w:p w14:paraId="27F2101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.093</w:t>
            </w:r>
            <w:r w:rsidRPr="000B490A">
              <w:rPr>
                <w:rFonts w:asciiTheme="majorBidi" w:hAnsiTheme="majorBidi" w:cstheme="majorBidi"/>
                <w:sz w:val="18"/>
                <w:szCs w:val="18"/>
                <w:vertAlign w:val="superscript"/>
              </w:rPr>
              <w:t>**</w:t>
            </w:r>
          </w:p>
        </w:tc>
        <w:tc>
          <w:tcPr>
            <w:tcW w:w="658" w:type="dxa"/>
          </w:tcPr>
          <w:p w14:paraId="0C606D0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.053</w:t>
            </w:r>
            <w:r w:rsidRPr="000B490A">
              <w:rPr>
                <w:rFonts w:asciiTheme="majorBidi" w:hAnsiTheme="majorBidi" w:cstheme="majorBidi"/>
                <w:sz w:val="18"/>
                <w:szCs w:val="18"/>
                <w:vertAlign w:val="superscript"/>
              </w:rPr>
              <w:t>**</w:t>
            </w:r>
          </w:p>
        </w:tc>
        <w:tc>
          <w:tcPr>
            <w:tcW w:w="658" w:type="dxa"/>
            <w:shd w:val="clear" w:color="auto" w:fill="auto"/>
            <w:noWrap/>
            <w:hideMark/>
          </w:tcPr>
          <w:p w14:paraId="6A44104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.095</w:t>
            </w:r>
            <w:r w:rsidRPr="000B490A">
              <w:rPr>
                <w:rFonts w:asciiTheme="majorBidi" w:hAnsiTheme="majorBidi" w:cstheme="majorBidi"/>
                <w:sz w:val="18"/>
                <w:szCs w:val="18"/>
                <w:vertAlign w:val="superscript"/>
              </w:rPr>
              <w:t>**</w:t>
            </w:r>
          </w:p>
        </w:tc>
        <w:tc>
          <w:tcPr>
            <w:tcW w:w="658" w:type="dxa"/>
          </w:tcPr>
          <w:p w14:paraId="5031EA2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-.025</w:t>
            </w:r>
            <w:r w:rsidRPr="000B490A">
              <w:rPr>
                <w:rFonts w:asciiTheme="majorBidi" w:hAnsiTheme="majorBidi" w:cstheme="majorBidi"/>
                <w:sz w:val="18"/>
                <w:szCs w:val="18"/>
                <w:vertAlign w:val="superscript"/>
              </w:rPr>
              <w:t>*</w:t>
            </w:r>
          </w:p>
        </w:tc>
      </w:tr>
      <w:tr w:rsidR="00EA313E" w:rsidRPr="00E22546" w14:paraId="57CAB340" w14:textId="77777777" w:rsidTr="00F42F0F">
        <w:tc>
          <w:tcPr>
            <w:tcW w:w="1968" w:type="dxa"/>
            <w:shd w:val="clear" w:color="auto" w:fill="auto"/>
            <w:noWrap/>
            <w:vAlign w:val="center"/>
            <w:hideMark/>
          </w:tcPr>
          <w:p w14:paraId="254F30AB" w14:textId="77777777" w:rsidR="00EA313E" w:rsidRPr="00E22546" w:rsidRDefault="00EA313E" w:rsidP="00F42F0F">
            <w:pPr>
              <w:widowControl/>
              <w:autoSpaceDE/>
              <w:autoSpaceDN/>
              <w:ind w:right="-120"/>
              <w:rPr>
                <w:rFonts w:asciiTheme="majorBidi" w:hAnsiTheme="majorBidi" w:cstheme="majorBidi"/>
                <w14:ligatures w14:val="none"/>
              </w:rPr>
            </w:pPr>
            <w:r>
              <w:rPr>
                <w:color w:val="000000"/>
              </w:rPr>
              <w:t>ESG Controversies *</w:t>
            </w:r>
          </w:p>
        </w:tc>
        <w:tc>
          <w:tcPr>
            <w:tcW w:w="657" w:type="dxa"/>
            <w:shd w:val="clear" w:color="auto" w:fill="auto"/>
            <w:noWrap/>
            <w:hideMark/>
          </w:tcPr>
          <w:p w14:paraId="6A0AC75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-.122</w:t>
            </w:r>
            <w:r w:rsidRPr="000B490A">
              <w:rPr>
                <w:rFonts w:asciiTheme="majorBidi" w:hAnsiTheme="majorBidi" w:cstheme="majorBidi"/>
                <w:sz w:val="18"/>
                <w:szCs w:val="18"/>
                <w:vertAlign w:val="superscript"/>
              </w:rPr>
              <w:t>**</w:t>
            </w:r>
          </w:p>
        </w:tc>
        <w:tc>
          <w:tcPr>
            <w:tcW w:w="657" w:type="dxa"/>
            <w:shd w:val="clear" w:color="auto" w:fill="auto"/>
            <w:noWrap/>
            <w:hideMark/>
          </w:tcPr>
          <w:p w14:paraId="3A8E4FC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-.069</w:t>
            </w:r>
            <w:r w:rsidRPr="000B490A">
              <w:rPr>
                <w:rFonts w:asciiTheme="majorBidi" w:hAnsiTheme="majorBidi" w:cstheme="majorBidi"/>
                <w:sz w:val="18"/>
                <w:szCs w:val="18"/>
                <w:vertAlign w:val="superscript"/>
              </w:rPr>
              <w:t>**</w:t>
            </w:r>
          </w:p>
        </w:tc>
        <w:tc>
          <w:tcPr>
            <w:tcW w:w="657" w:type="dxa"/>
            <w:shd w:val="clear" w:color="auto" w:fill="auto"/>
            <w:noWrap/>
            <w:hideMark/>
          </w:tcPr>
          <w:p w14:paraId="0097C38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.035</w:t>
            </w:r>
            <w:r w:rsidRPr="000B490A">
              <w:rPr>
                <w:rFonts w:asciiTheme="majorBidi" w:hAnsiTheme="majorBidi" w:cstheme="majorBidi"/>
                <w:sz w:val="18"/>
                <w:szCs w:val="18"/>
                <w:vertAlign w:val="superscript"/>
              </w:rPr>
              <w:t>**</w:t>
            </w:r>
          </w:p>
        </w:tc>
        <w:tc>
          <w:tcPr>
            <w:tcW w:w="658" w:type="dxa"/>
            <w:shd w:val="clear" w:color="auto" w:fill="auto"/>
            <w:noWrap/>
            <w:hideMark/>
          </w:tcPr>
          <w:p w14:paraId="59353FB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.080</w:t>
            </w:r>
            <w:r w:rsidRPr="000B490A">
              <w:rPr>
                <w:rFonts w:asciiTheme="majorBidi" w:hAnsiTheme="majorBidi" w:cstheme="majorBidi"/>
                <w:sz w:val="18"/>
                <w:szCs w:val="18"/>
                <w:vertAlign w:val="superscript"/>
              </w:rPr>
              <w:t>**</w:t>
            </w:r>
          </w:p>
        </w:tc>
        <w:tc>
          <w:tcPr>
            <w:tcW w:w="657" w:type="dxa"/>
            <w:shd w:val="clear" w:color="auto" w:fill="auto"/>
            <w:noWrap/>
            <w:hideMark/>
          </w:tcPr>
          <w:p w14:paraId="6ADA9E0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.051</w:t>
            </w:r>
            <w:r w:rsidRPr="000B490A">
              <w:rPr>
                <w:rFonts w:asciiTheme="majorBidi" w:hAnsiTheme="majorBidi" w:cstheme="majorBidi"/>
                <w:sz w:val="18"/>
                <w:szCs w:val="18"/>
                <w:vertAlign w:val="superscript"/>
              </w:rPr>
              <w:t>**</w:t>
            </w:r>
          </w:p>
        </w:tc>
        <w:tc>
          <w:tcPr>
            <w:tcW w:w="657" w:type="dxa"/>
            <w:shd w:val="clear" w:color="auto" w:fill="auto"/>
            <w:noWrap/>
            <w:hideMark/>
          </w:tcPr>
          <w:p w14:paraId="5FEE826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.564</w:t>
            </w:r>
            <w:r w:rsidRPr="000B490A">
              <w:rPr>
                <w:rFonts w:asciiTheme="majorBidi" w:hAnsiTheme="majorBidi" w:cstheme="majorBidi"/>
                <w:sz w:val="18"/>
                <w:szCs w:val="18"/>
                <w:vertAlign w:val="superscript"/>
              </w:rPr>
              <w:t>**</w:t>
            </w:r>
          </w:p>
        </w:tc>
        <w:tc>
          <w:tcPr>
            <w:tcW w:w="657" w:type="dxa"/>
            <w:shd w:val="clear" w:color="auto" w:fill="auto"/>
            <w:noWrap/>
            <w:hideMark/>
          </w:tcPr>
          <w:p w14:paraId="5C0EC63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8" w:type="dxa"/>
            <w:shd w:val="clear" w:color="auto" w:fill="auto"/>
            <w:noWrap/>
            <w:hideMark/>
          </w:tcPr>
          <w:p w14:paraId="3DD65F4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.274</w:t>
            </w:r>
            <w:r w:rsidRPr="000B490A">
              <w:rPr>
                <w:rFonts w:asciiTheme="majorBidi" w:hAnsiTheme="majorBidi" w:cstheme="majorBidi"/>
                <w:sz w:val="18"/>
                <w:szCs w:val="18"/>
                <w:vertAlign w:val="superscript"/>
              </w:rPr>
              <w:t>**</w:t>
            </w:r>
          </w:p>
        </w:tc>
        <w:tc>
          <w:tcPr>
            <w:tcW w:w="657" w:type="dxa"/>
            <w:shd w:val="clear" w:color="auto" w:fill="auto"/>
            <w:noWrap/>
            <w:hideMark/>
          </w:tcPr>
          <w:p w14:paraId="64111A7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.123</w:t>
            </w:r>
            <w:r w:rsidRPr="000B490A">
              <w:rPr>
                <w:rFonts w:asciiTheme="majorBidi" w:hAnsiTheme="majorBidi" w:cstheme="majorBidi"/>
                <w:sz w:val="18"/>
                <w:szCs w:val="18"/>
                <w:vertAlign w:val="superscript"/>
              </w:rPr>
              <w:t>**</w:t>
            </w:r>
          </w:p>
        </w:tc>
        <w:tc>
          <w:tcPr>
            <w:tcW w:w="657" w:type="dxa"/>
            <w:shd w:val="clear" w:color="auto" w:fill="auto"/>
            <w:noWrap/>
            <w:hideMark/>
          </w:tcPr>
          <w:p w14:paraId="7F30A5C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.251</w:t>
            </w:r>
            <w:r w:rsidRPr="000B490A">
              <w:rPr>
                <w:rFonts w:asciiTheme="majorBidi" w:hAnsiTheme="majorBidi" w:cstheme="majorBidi"/>
                <w:sz w:val="18"/>
                <w:szCs w:val="18"/>
                <w:vertAlign w:val="superscript"/>
              </w:rPr>
              <w:t>**</w:t>
            </w:r>
          </w:p>
        </w:tc>
        <w:tc>
          <w:tcPr>
            <w:tcW w:w="657" w:type="dxa"/>
            <w:shd w:val="clear" w:color="auto" w:fill="auto"/>
            <w:noWrap/>
            <w:hideMark/>
          </w:tcPr>
          <w:p w14:paraId="0855F5F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.385</w:t>
            </w:r>
            <w:r w:rsidRPr="000B490A">
              <w:rPr>
                <w:rFonts w:asciiTheme="majorBidi" w:hAnsiTheme="majorBidi" w:cstheme="majorBidi"/>
                <w:sz w:val="18"/>
                <w:szCs w:val="18"/>
                <w:vertAlign w:val="superscript"/>
              </w:rPr>
              <w:t>**</w:t>
            </w:r>
          </w:p>
        </w:tc>
        <w:tc>
          <w:tcPr>
            <w:tcW w:w="658" w:type="dxa"/>
            <w:shd w:val="clear" w:color="auto" w:fill="auto"/>
            <w:noWrap/>
            <w:hideMark/>
          </w:tcPr>
          <w:p w14:paraId="64C95FF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-.033</w:t>
            </w:r>
            <w:r w:rsidRPr="000B490A">
              <w:rPr>
                <w:rFonts w:asciiTheme="majorBidi" w:hAnsiTheme="majorBidi" w:cstheme="majorBidi"/>
                <w:sz w:val="18"/>
                <w:szCs w:val="18"/>
                <w:vertAlign w:val="superscript"/>
              </w:rPr>
              <w:t>**</w:t>
            </w:r>
          </w:p>
        </w:tc>
        <w:tc>
          <w:tcPr>
            <w:tcW w:w="657" w:type="dxa"/>
            <w:shd w:val="clear" w:color="auto" w:fill="auto"/>
            <w:noWrap/>
            <w:hideMark/>
          </w:tcPr>
          <w:p w14:paraId="1C72734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-.113</w:t>
            </w:r>
            <w:r w:rsidRPr="000B490A">
              <w:rPr>
                <w:rFonts w:asciiTheme="majorBidi" w:hAnsiTheme="majorBidi" w:cstheme="majorBidi"/>
                <w:sz w:val="18"/>
                <w:szCs w:val="18"/>
                <w:vertAlign w:val="superscript"/>
              </w:rPr>
              <w:t>**</w:t>
            </w:r>
          </w:p>
        </w:tc>
        <w:tc>
          <w:tcPr>
            <w:tcW w:w="657" w:type="dxa"/>
            <w:shd w:val="clear" w:color="auto" w:fill="auto"/>
            <w:noWrap/>
            <w:hideMark/>
          </w:tcPr>
          <w:p w14:paraId="6DBD0C4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0.002</w:t>
            </w:r>
          </w:p>
        </w:tc>
        <w:tc>
          <w:tcPr>
            <w:tcW w:w="658" w:type="dxa"/>
          </w:tcPr>
          <w:p w14:paraId="088D2DC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-0.014</w:t>
            </w:r>
          </w:p>
        </w:tc>
        <w:tc>
          <w:tcPr>
            <w:tcW w:w="658" w:type="dxa"/>
            <w:shd w:val="clear" w:color="auto" w:fill="auto"/>
            <w:noWrap/>
            <w:hideMark/>
          </w:tcPr>
          <w:p w14:paraId="2B21FC7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-0.008</w:t>
            </w:r>
          </w:p>
        </w:tc>
        <w:tc>
          <w:tcPr>
            <w:tcW w:w="658" w:type="dxa"/>
          </w:tcPr>
          <w:p w14:paraId="51DE4A0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-0.008</w:t>
            </w:r>
          </w:p>
        </w:tc>
      </w:tr>
      <w:tr w:rsidR="00EA313E" w:rsidRPr="00E22546" w14:paraId="67E6D74B" w14:textId="77777777" w:rsidTr="00F42F0F">
        <w:tc>
          <w:tcPr>
            <w:tcW w:w="1968" w:type="dxa"/>
            <w:shd w:val="clear" w:color="auto" w:fill="auto"/>
            <w:noWrap/>
            <w:vAlign w:val="center"/>
            <w:hideMark/>
          </w:tcPr>
          <w:p w14:paraId="164B8DBF"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ESG </w:t>
            </w:r>
          </w:p>
        </w:tc>
        <w:tc>
          <w:tcPr>
            <w:tcW w:w="657" w:type="dxa"/>
            <w:shd w:val="clear" w:color="auto" w:fill="auto"/>
            <w:noWrap/>
            <w:hideMark/>
          </w:tcPr>
          <w:p w14:paraId="6B8996A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.605</w:t>
            </w:r>
            <w:r w:rsidRPr="000B490A">
              <w:rPr>
                <w:rFonts w:asciiTheme="majorBidi" w:hAnsiTheme="majorBidi" w:cstheme="majorBidi"/>
                <w:sz w:val="18"/>
                <w:szCs w:val="18"/>
                <w:vertAlign w:val="superscript"/>
              </w:rPr>
              <w:t>**</w:t>
            </w:r>
          </w:p>
        </w:tc>
        <w:tc>
          <w:tcPr>
            <w:tcW w:w="657" w:type="dxa"/>
            <w:shd w:val="clear" w:color="auto" w:fill="auto"/>
            <w:noWrap/>
            <w:hideMark/>
          </w:tcPr>
          <w:p w14:paraId="18655C5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-.182</w:t>
            </w:r>
            <w:r w:rsidRPr="000B490A">
              <w:rPr>
                <w:rFonts w:asciiTheme="majorBidi" w:hAnsiTheme="majorBidi" w:cstheme="majorBidi"/>
                <w:sz w:val="18"/>
                <w:szCs w:val="18"/>
                <w:vertAlign w:val="superscript"/>
              </w:rPr>
              <w:t>**</w:t>
            </w:r>
          </w:p>
        </w:tc>
        <w:tc>
          <w:tcPr>
            <w:tcW w:w="657" w:type="dxa"/>
            <w:shd w:val="clear" w:color="auto" w:fill="auto"/>
            <w:noWrap/>
            <w:hideMark/>
          </w:tcPr>
          <w:p w14:paraId="039416C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-.049</w:t>
            </w:r>
            <w:r w:rsidRPr="000B490A">
              <w:rPr>
                <w:rFonts w:asciiTheme="majorBidi" w:hAnsiTheme="majorBidi" w:cstheme="majorBidi"/>
                <w:sz w:val="18"/>
                <w:szCs w:val="18"/>
                <w:vertAlign w:val="superscript"/>
              </w:rPr>
              <w:t>**</w:t>
            </w:r>
          </w:p>
        </w:tc>
        <w:tc>
          <w:tcPr>
            <w:tcW w:w="658" w:type="dxa"/>
            <w:shd w:val="clear" w:color="auto" w:fill="auto"/>
            <w:noWrap/>
            <w:hideMark/>
          </w:tcPr>
          <w:p w14:paraId="633B7BD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.202</w:t>
            </w:r>
            <w:r w:rsidRPr="000B490A">
              <w:rPr>
                <w:rFonts w:asciiTheme="majorBidi" w:hAnsiTheme="majorBidi" w:cstheme="majorBidi"/>
                <w:sz w:val="18"/>
                <w:szCs w:val="18"/>
                <w:vertAlign w:val="superscript"/>
              </w:rPr>
              <w:t>**</w:t>
            </w:r>
          </w:p>
        </w:tc>
        <w:tc>
          <w:tcPr>
            <w:tcW w:w="657" w:type="dxa"/>
            <w:shd w:val="clear" w:color="auto" w:fill="auto"/>
            <w:noWrap/>
            <w:hideMark/>
          </w:tcPr>
          <w:p w14:paraId="7C0B620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.087</w:t>
            </w:r>
            <w:r w:rsidRPr="000B490A">
              <w:rPr>
                <w:rFonts w:asciiTheme="majorBidi" w:hAnsiTheme="majorBidi" w:cstheme="majorBidi"/>
                <w:sz w:val="18"/>
                <w:szCs w:val="18"/>
                <w:vertAlign w:val="superscript"/>
              </w:rPr>
              <w:t>**</w:t>
            </w:r>
          </w:p>
        </w:tc>
        <w:tc>
          <w:tcPr>
            <w:tcW w:w="657" w:type="dxa"/>
            <w:shd w:val="clear" w:color="auto" w:fill="auto"/>
            <w:noWrap/>
            <w:hideMark/>
          </w:tcPr>
          <w:p w14:paraId="5BBCFF8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.912</w:t>
            </w:r>
            <w:r w:rsidRPr="000B490A">
              <w:rPr>
                <w:rFonts w:asciiTheme="majorBidi" w:hAnsiTheme="majorBidi" w:cstheme="majorBidi"/>
                <w:sz w:val="18"/>
                <w:szCs w:val="18"/>
                <w:vertAlign w:val="superscript"/>
              </w:rPr>
              <w:t>**</w:t>
            </w:r>
          </w:p>
        </w:tc>
        <w:tc>
          <w:tcPr>
            <w:tcW w:w="657" w:type="dxa"/>
            <w:shd w:val="clear" w:color="auto" w:fill="auto"/>
            <w:noWrap/>
            <w:hideMark/>
          </w:tcPr>
          <w:p w14:paraId="7CA405C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.274</w:t>
            </w:r>
            <w:r w:rsidRPr="000B490A">
              <w:rPr>
                <w:rFonts w:asciiTheme="majorBidi" w:hAnsiTheme="majorBidi" w:cstheme="majorBidi"/>
                <w:sz w:val="18"/>
                <w:szCs w:val="18"/>
                <w:vertAlign w:val="superscript"/>
              </w:rPr>
              <w:t>**</w:t>
            </w:r>
          </w:p>
        </w:tc>
        <w:tc>
          <w:tcPr>
            <w:tcW w:w="658" w:type="dxa"/>
            <w:shd w:val="clear" w:color="auto" w:fill="auto"/>
            <w:noWrap/>
            <w:hideMark/>
          </w:tcPr>
          <w:p w14:paraId="3B7FA44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7" w:type="dxa"/>
            <w:shd w:val="clear" w:color="auto" w:fill="auto"/>
            <w:noWrap/>
            <w:hideMark/>
          </w:tcPr>
          <w:p w14:paraId="2ACDF5C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.915</w:t>
            </w:r>
            <w:r w:rsidRPr="000B490A">
              <w:rPr>
                <w:rFonts w:asciiTheme="majorBidi" w:hAnsiTheme="majorBidi" w:cstheme="majorBidi"/>
                <w:sz w:val="18"/>
                <w:szCs w:val="18"/>
                <w:vertAlign w:val="superscript"/>
              </w:rPr>
              <w:t>**</w:t>
            </w:r>
          </w:p>
        </w:tc>
        <w:tc>
          <w:tcPr>
            <w:tcW w:w="657" w:type="dxa"/>
            <w:shd w:val="clear" w:color="auto" w:fill="auto"/>
            <w:noWrap/>
            <w:hideMark/>
          </w:tcPr>
          <w:p w14:paraId="3A59F5A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.960</w:t>
            </w:r>
            <w:r w:rsidRPr="000B490A">
              <w:rPr>
                <w:rFonts w:asciiTheme="majorBidi" w:hAnsiTheme="majorBidi" w:cstheme="majorBidi"/>
                <w:sz w:val="18"/>
                <w:szCs w:val="18"/>
                <w:vertAlign w:val="superscript"/>
              </w:rPr>
              <w:t>**</w:t>
            </w:r>
          </w:p>
        </w:tc>
        <w:tc>
          <w:tcPr>
            <w:tcW w:w="657" w:type="dxa"/>
            <w:shd w:val="clear" w:color="auto" w:fill="auto"/>
            <w:noWrap/>
            <w:hideMark/>
          </w:tcPr>
          <w:p w14:paraId="28311FB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.862</w:t>
            </w:r>
            <w:r w:rsidRPr="000B490A">
              <w:rPr>
                <w:rFonts w:asciiTheme="majorBidi" w:hAnsiTheme="majorBidi" w:cstheme="majorBidi"/>
                <w:sz w:val="18"/>
                <w:szCs w:val="18"/>
                <w:vertAlign w:val="superscript"/>
              </w:rPr>
              <w:t>**</w:t>
            </w:r>
          </w:p>
        </w:tc>
        <w:tc>
          <w:tcPr>
            <w:tcW w:w="658" w:type="dxa"/>
            <w:shd w:val="clear" w:color="auto" w:fill="auto"/>
            <w:noWrap/>
            <w:hideMark/>
          </w:tcPr>
          <w:p w14:paraId="7F9B985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-.342</w:t>
            </w:r>
            <w:r w:rsidRPr="000B490A">
              <w:rPr>
                <w:rFonts w:asciiTheme="majorBidi" w:hAnsiTheme="majorBidi" w:cstheme="majorBidi"/>
                <w:sz w:val="18"/>
                <w:szCs w:val="18"/>
                <w:vertAlign w:val="superscript"/>
              </w:rPr>
              <w:t>**</w:t>
            </w:r>
          </w:p>
        </w:tc>
        <w:tc>
          <w:tcPr>
            <w:tcW w:w="657" w:type="dxa"/>
            <w:shd w:val="clear" w:color="auto" w:fill="auto"/>
            <w:noWrap/>
            <w:hideMark/>
          </w:tcPr>
          <w:p w14:paraId="0F2FECB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.291</w:t>
            </w:r>
            <w:r w:rsidRPr="000B490A">
              <w:rPr>
                <w:rFonts w:asciiTheme="majorBidi" w:hAnsiTheme="majorBidi" w:cstheme="majorBidi"/>
                <w:sz w:val="18"/>
                <w:szCs w:val="18"/>
                <w:vertAlign w:val="superscript"/>
              </w:rPr>
              <w:t>**</w:t>
            </w:r>
          </w:p>
        </w:tc>
        <w:tc>
          <w:tcPr>
            <w:tcW w:w="657" w:type="dxa"/>
            <w:shd w:val="clear" w:color="auto" w:fill="auto"/>
            <w:noWrap/>
            <w:hideMark/>
          </w:tcPr>
          <w:p w14:paraId="3C9806D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.111</w:t>
            </w:r>
            <w:r w:rsidRPr="000B490A">
              <w:rPr>
                <w:rFonts w:asciiTheme="majorBidi" w:hAnsiTheme="majorBidi" w:cstheme="majorBidi"/>
                <w:sz w:val="18"/>
                <w:szCs w:val="18"/>
                <w:vertAlign w:val="superscript"/>
              </w:rPr>
              <w:t>**</w:t>
            </w:r>
          </w:p>
        </w:tc>
        <w:tc>
          <w:tcPr>
            <w:tcW w:w="658" w:type="dxa"/>
          </w:tcPr>
          <w:p w14:paraId="2F4C077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.075</w:t>
            </w:r>
            <w:r w:rsidRPr="000B490A">
              <w:rPr>
                <w:rFonts w:asciiTheme="majorBidi" w:hAnsiTheme="majorBidi" w:cstheme="majorBidi"/>
                <w:sz w:val="18"/>
                <w:szCs w:val="18"/>
                <w:vertAlign w:val="superscript"/>
              </w:rPr>
              <w:t>**</w:t>
            </w:r>
          </w:p>
        </w:tc>
        <w:tc>
          <w:tcPr>
            <w:tcW w:w="658" w:type="dxa"/>
            <w:shd w:val="clear" w:color="auto" w:fill="auto"/>
            <w:noWrap/>
            <w:hideMark/>
          </w:tcPr>
          <w:p w14:paraId="12C7C03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.126</w:t>
            </w:r>
            <w:r w:rsidRPr="000B490A">
              <w:rPr>
                <w:rFonts w:asciiTheme="majorBidi" w:hAnsiTheme="majorBidi" w:cstheme="majorBidi"/>
                <w:sz w:val="18"/>
                <w:szCs w:val="18"/>
                <w:vertAlign w:val="superscript"/>
              </w:rPr>
              <w:t>**</w:t>
            </w:r>
          </w:p>
        </w:tc>
        <w:tc>
          <w:tcPr>
            <w:tcW w:w="658" w:type="dxa"/>
          </w:tcPr>
          <w:p w14:paraId="1424EEB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-.031</w:t>
            </w:r>
            <w:r w:rsidRPr="000B490A">
              <w:rPr>
                <w:rFonts w:asciiTheme="majorBidi" w:hAnsiTheme="majorBidi" w:cstheme="majorBidi"/>
                <w:sz w:val="18"/>
                <w:szCs w:val="18"/>
                <w:vertAlign w:val="superscript"/>
              </w:rPr>
              <w:t>**</w:t>
            </w:r>
          </w:p>
        </w:tc>
      </w:tr>
      <w:tr w:rsidR="00EA313E" w:rsidRPr="00E22546" w14:paraId="465B4292" w14:textId="77777777" w:rsidTr="00F42F0F">
        <w:tc>
          <w:tcPr>
            <w:tcW w:w="1968" w:type="dxa"/>
            <w:shd w:val="clear" w:color="auto" w:fill="auto"/>
            <w:noWrap/>
            <w:vAlign w:val="center"/>
            <w:hideMark/>
          </w:tcPr>
          <w:p w14:paraId="1DDE38E8"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Environment Pillar </w:t>
            </w:r>
          </w:p>
        </w:tc>
        <w:tc>
          <w:tcPr>
            <w:tcW w:w="657" w:type="dxa"/>
            <w:shd w:val="clear" w:color="auto" w:fill="auto"/>
            <w:noWrap/>
            <w:hideMark/>
          </w:tcPr>
          <w:p w14:paraId="7139DBE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.610</w:t>
            </w:r>
            <w:r w:rsidRPr="000B490A">
              <w:rPr>
                <w:rFonts w:asciiTheme="majorBidi" w:hAnsiTheme="majorBidi" w:cstheme="majorBidi"/>
                <w:sz w:val="18"/>
                <w:szCs w:val="18"/>
                <w:vertAlign w:val="superscript"/>
              </w:rPr>
              <w:t>**</w:t>
            </w:r>
          </w:p>
        </w:tc>
        <w:tc>
          <w:tcPr>
            <w:tcW w:w="657" w:type="dxa"/>
            <w:shd w:val="clear" w:color="auto" w:fill="auto"/>
            <w:noWrap/>
            <w:hideMark/>
          </w:tcPr>
          <w:p w14:paraId="53B5C23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-.164</w:t>
            </w:r>
            <w:r w:rsidRPr="000B490A">
              <w:rPr>
                <w:rFonts w:asciiTheme="majorBidi" w:hAnsiTheme="majorBidi" w:cstheme="majorBidi"/>
                <w:sz w:val="18"/>
                <w:szCs w:val="18"/>
                <w:vertAlign w:val="superscript"/>
              </w:rPr>
              <w:t>**</w:t>
            </w:r>
          </w:p>
        </w:tc>
        <w:tc>
          <w:tcPr>
            <w:tcW w:w="657" w:type="dxa"/>
            <w:shd w:val="clear" w:color="auto" w:fill="auto"/>
            <w:noWrap/>
            <w:hideMark/>
          </w:tcPr>
          <w:p w14:paraId="7EE7E87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-.042</w:t>
            </w:r>
            <w:r w:rsidRPr="000B490A">
              <w:rPr>
                <w:rFonts w:asciiTheme="majorBidi" w:hAnsiTheme="majorBidi" w:cstheme="majorBidi"/>
                <w:sz w:val="18"/>
                <w:szCs w:val="18"/>
                <w:vertAlign w:val="superscript"/>
              </w:rPr>
              <w:t>**</w:t>
            </w:r>
          </w:p>
        </w:tc>
        <w:tc>
          <w:tcPr>
            <w:tcW w:w="658" w:type="dxa"/>
            <w:shd w:val="clear" w:color="auto" w:fill="auto"/>
            <w:noWrap/>
            <w:hideMark/>
          </w:tcPr>
          <w:p w14:paraId="21CE9B3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.175</w:t>
            </w:r>
            <w:r w:rsidRPr="000B490A">
              <w:rPr>
                <w:rFonts w:asciiTheme="majorBidi" w:hAnsiTheme="majorBidi" w:cstheme="majorBidi"/>
                <w:sz w:val="18"/>
                <w:szCs w:val="18"/>
                <w:vertAlign w:val="superscript"/>
              </w:rPr>
              <w:t>**</w:t>
            </w:r>
          </w:p>
        </w:tc>
        <w:tc>
          <w:tcPr>
            <w:tcW w:w="657" w:type="dxa"/>
            <w:shd w:val="clear" w:color="auto" w:fill="auto"/>
            <w:noWrap/>
            <w:hideMark/>
          </w:tcPr>
          <w:p w14:paraId="0E26440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.071</w:t>
            </w:r>
            <w:r w:rsidRPr="000B490A">
              <w:rPr>
                <w:rFonts w:asciiTheme="majorBidi" w:hAnsiTheme="majorBidi" w:cstheme="majorBidi"/>
                <w:sz w:val="18"/>
                <w:szCs w:val="18"/>
                <w:vertAlign w:val="superscript"/>
              </w:rPr>
              <w:t>**</w:t>
            </w:r>
          </w:p>
        </w:tc>
        <w:tc>
          <w:tcPr>
            <w:tcW w:w="657" w:type="dxa"/>
            <w:shd w:val="clear" w:color="auto" w:fill="auto"/>
            <w:noWrap/>
            <w:hideMark/>
          </w:tcPr>
          <w:p w14:paraId="6D0BDA3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.809</w:t>
            </w:r>
            <w:r w:rsidRPr="000B490A">
              <w:rPr>
                <w:rFonts w:asciiTheme="majorBidi" w:hAnsiTheme="majorBidi" w:cstheme="majorBidi"/>
                <w:sz w:val="18"/>
                <w:szCs w:val="18"/>
                <w:vertAlign w:val="superscript"/>
              </w:rPr>
              <w:t>**</w:t>
            </w:r>
          </w:p>
        </w:tc>
        <w:tc>
          <w:tcPr>
            <w:tcW w:w="657" w:type="dxa"/>
            <w:shd w:val="clear" w:color="auto" w:fill="auto"/>
            <w:noWrap/>
            <w:hideMark/>
          </w:tcPr>
          <w:p w14:paraId="7ABE5EF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.123</w:t>
            </w:r>
            <w:r w:rsidRPr="000B490A">
              <w:rPr>
                <w:rFonts w:asciiTheme="majorBidi" w:hAnsiTheme="majorBidi" w:cstheme="majorBidi"/>
                <w:sz w:val="18"/>
                <w:szCs w:val="18"/>
                <w:vertAlign w:val="superscript"/>
              </w:rPr>
              <w:t>**</w:t>
            </w:r>
          </w:p>
        </w:tc>
        <w:tc>
          <w:tcPr>
            <w:tcW w:w="658" w:type="dxa"/>
            <w:shd w:val="clear" w:color="auto" w:fill="auto"/>
            <w:noWrap/>
            <w:hideMark/>
          </w:tcPr>
          <w:p w14:paraId="744F245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.915</w:t>
            </w:r>
            <w:r w:rsidRPr="000B490A">
              <w:rPr>
                <w:rFonts w:asciiTheme="majorBidi" w:hAnsiTheme="majorBidi" w:cstheme="majorBidi"/>
                <w:sz w:val="18"/>
                <w:szCs w:val="18"/>
                <w:vertAlign w:val="superscript"/>
              </w:rPr>
              <w:t>**</w:t>
            </w:r>
          </w:p>
        </w:tc>
        <w:tc>
          <w:tcPr>
            <w:tcW w:w="657" w:type="dxa"/>
            <w:shd w:val="clear" w:color="auto" w:fill="auto"/>
            <w:noWrap/>
            <w:hideMark/>
          </w:tcPr>
          <w:p w14:paraId="1B32175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7" w:type="dxa"/>
            <w:shd w:val="clear" w:color="auto" w:fill="auto"/>
            <w:noWrap/>
            <w:hideMark/>
          </w:tcPr>
          <w:p w14:paraId="6BB72B1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.867</w:t>
            </w:r>
            <w:r w:rsidRPr="000B490A">
              <w:rPr>
                <w:rFonts w:asciiTheme="majorBidi" w:hAnsiTheme="majorBidi" w:cstheme="majorBidi"/>
                <w:sz w:val="18"/>
                <w:szCs w:val="18"/>
                <w:vertAlign w:val="superscript"/>
              </w:rPr>
              <w:t>**</w:t>
            </w:r>
          </w:p>
        </w:tc>
        <w:tc>
          <w:tcPr>
            <w:tcW w:w="657" w:type="dxa"/>
            <w:shd w:val="clear" w:color="auto" w:fill="auto"/>
            <w:noWrap/>
            <w:hideMark/>
          </w:tcPr>
          <w:p w14:paraId="6CFC14A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.669</w:t>
            </w:r>
            <w:r w:rsidRPr="000B490A">
              <w:rPr>
                <w:rFonts w:asciiTheme="majorBidi" w:hAnsiTheme="majorBidi" w:cstheme="majorBidi"/>
                <w:sz w:val="18"/>
                <w:szCs w:val="18"/>
                <w:vertAlign w:val="superscript"/>
              </w:rPr>
              <w:t>**</w:t>
            </w:r>
          </w:p>
        </w:tc>
        <w:tc>
          <w:tcPr>
            <w:tcW w:w="658" w:type="dxa"/>
            <w:shd w:val="clear" w:color="auto" w:fill="auto"/>
            <w:noWrap/>
            <w:hideMark/>
          </w:tcPr>
          <w:p w14:paraId="1DB2011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-.326</w:t>
            </w:r>
            <w:r w:rsidRPr="000B490A">
              <w:rPr>
                <w:rFonts w:asciiTheme="majorBidi" w:hAnsiTheme="majorBidi" w:cstheme="majorBidi"/>
                <w:sz w:val="18"/>
                <w:szCs w:val="18"/>
                <w:vertAlign w:val="superscript"/>
              </w:rPr>
              <w:t>**</w:t>
            </w:r>
          </w:p>
        </w:tc>
        <w:tc>
          <w:tcPr>
            <w:tcW w:w="657" w:type="dxa"/>
            <w:shd w:val="clear" w:color="auto" w:fill="auto"/>
            <w:noWrap/>
            <w:hideMark/>
          </w:tcPr>
          <w:p w14:paraId="50E0E43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.325</w:t>
            </w:r>
            <w:r w:rsidRPr="000B490A">
              <w:rPr>
                <w:rFonts w:asciiTheme="majorBidi" w:hAnsiTheme="majorBidi" w:cstheme="majorBidi"/>
                <w:sz w:val="18"/>
                <w:szCs w:val="18"/>
                <w:vertAlign w:val="superscript"/>
              </w:rPr>
              <w:t>**</w:t>
            </w:r>
          </w:p>
        </w:tc>
        <w:tc>
          <w:tcPr>
            <w:tcW w:w="657" w:type="dxa"/>
            <w:shd w:val="clear" w:color="auto" w:fill="auto"/>
            <w:noWrap/>
            <w:hideMark/>
          </w:tcPr>
          <w:p w14:paraId="5EA0CEE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.107</w:t>
            </w:r>
            <w:r w:rsidRPr="000B490A">
              <w:rPr>
                <w:rFonts w:asciiTheme="majorBidi" w:hAnsiTheme="majorBidi" w:cstheme="majorBidi"/>
                <w:sz w:val="18"/>
                <w:szCs w:val="18"/>
                <w:vertAlign w:val="superscript"/>
              </w:rPr>
              <w:t>**</w:t>
            </w:r>
          </w:p>
        </w:tc>
        <w:tc>
          <w:tcPr>
            <w:tcW w:w="658" w:type="dxa"/>
          </w:tcPr>
          <w:p w14:paraId="5A2F40F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.091</w:t>
            </w:r>
            <w:r w:rsidRPr="000B490A">
              <w:rPr>
                <w:rFonts w:asciiTheme="majorBidi" w:hAnsiTheme="majorBidi" w:cstheme="majorBidi"/>
                <w:sz w:val="18"/>
                <w:szCs w:val="18"/>
                <w:vertAlign w:val="superscript"/>
              </w:rPr>
              <w:t>**</w:t>
            </w:r>
          </w:p>
        </w:tc>
        <w:tc>
          <w:tcPr>
            <w:tcW w:w="658" w:type="dxa"/>
            <w:shd w:val="clear" w:color="auto" w:fill="auto"/>
            <w:noWrap/>
            <w:hideMark/>
          </w:tcPr>
          <w:p w14:paraId="61DC795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.139</w:t>
            </w:r>
            <w:r w:rsidRPr="000B490A">
              <w:rPr>
                <w:rFonts w:asciiTheme="majorBidi" w:hAnsiTheme="majorBidi" w:cstheme="majorBidi"/>
                <w:sz w:val="18"/>
                <w:szCs w:val="18"/>
                <w:vertAlign w:val="superscript"/>
              </w:rPr>
              <w:t>**</w:t>
            </w:r>
          </w:p>
        </w:tc>
        <w:tc>
          <w:tcPr>
            <w:tcW w:w="658" w:type="dxa"/>
          </w:tcPr>
          <w:p w14:paraId="62287D4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-.030</w:t>
            </w:r>
            <w:r w:rsidRPr="000B490A">
              <w:rPr>
                <w:rFonts w:asciiTheme="majorBidi" w:hAnsiTheme="majorBidi" w:cstheme="majorBidi"/>
                <w:sz w:val="18"/>
                <w:szCs w:val="18"/>
                <w:vertAlign w:val="superscript"/>
              </w:rPr>
              <w:t>**</w:t>
            </w:r>
          </w:p>
        </w:tc>
      </w:tr>
      <w:tr w:rsidR="00EA313E" w:rsidRPr="00E22546" w14:paraId="264D00C7" w14:textId="77777777" w:rsidTr="00F42F0F">
        <w:tc>
          <w:tcPr>
            <w:tcW w:w="1968" w:type="dxa"/>
            <w:shd w:val="clear" w:color="auto" w:fill="auto"/>
            <w:noWrap/>
            <w:vAlign w:val="center"/>
            <w:hideMark/>
          </w:tcPr>
          <w:p w14:paraId="3615A7D7"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Social Pillar </w:t>
            </w:r>
          </w:p>
        </w:tc>
        <w:tc>
          <w:tcPr>
            <w:tcW w:w="657" w:type="dxa"/>
            <w:shd w:val="clear" w:color="auto" w:fill="auto"/>
            <w:noWrap/>
            <w:hideMark/>
          </w:tcPr>
          <w:p w14:paraId="77D4C3E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.596</w:t>
            </w:r>
            <w:r w:rsidRPr="000B490A">
              <w:rPr>
                <w:rFonts w:asciiTheme="majorBidi" w:hAnsiTheme="majorBidi" w:cstheme="majorBidi"/>
                <w:sz w:val="18"/>
                <w:szCs w:val="18"/>
                <w:vertAlign w:val="superscript"/>
              </w:rPr>
              <w:t>**</w:t>
            </w:r>
          </w:p>
        </w:tc>
        <w:tc>
          <w:tcPr>
            <w:tcW w:w="657" w:type="dxa"/>
            <w:shd w:val="clear" w:color="auto" w:fill="auto"/>
            <w:noWrap/>
            <w:hideMark/>
          </w:tcPr>
          <w:p w14:paraId="386CB58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-.163</w:t>
            </w:r>
            <w:r w:rsidRPr="000B490A">
              <w:rPr>
                <w:rFonts w:asciiTheme="majorBidi" w:hAnsiTheme="majorBidi" w:cstheme="majorBidi"/>
                <w:sz w:val="18"/>
                <w:szCs w:val="18"/>
                <w:vertAlign w:val="superscript"/>
              </w:rPr>
              <w:t>**</w:t>
            </w:r>
          </w:p>
        </w:tc>
        <w:tc>
          <w:tcPr>
            <w:tcW w:w="657" w:type="dxa"/>
            <w:shd w:val="clear" w:color="auto" w:fill="auto"/>
            <w:noWrap/>
            <w:hideMark/>
          </w:tcPr>
          <w:p w14:paraId="3D7E08C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-.050</w:t>
            </w:r>
            <w:r w:rsidRPr="000B490A">
              <w:rPr>
                <w:rFonts w:asciiTheme="majorBidi" w:hAnsiTheme="majorBidi" w:cstheme="majorBidi"/>
                <w:sz w:val="18"/>
                <w:szCs w:val="18"/>
                <w:vertAlign w:val="superscript"/>
              </w:rPr>
              <w:t>**</w:t>
            </w:r>
          </w:p>
        </w:tc>
        <w:tc>
          <w:tcPr>
            <w:tcW w:w="658" w:type="dxa"/>
            <w:shd w:val="clear" w:color="auto" w:fill="auto"/>
            <w:noWrap/>
            <w:hideMark/>
          </w:tcPr>
          <w:p w14:paraId="2723FF0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.207</w:t>
            </w:r>
            <w:r w:rsidRPr="000B490A">
              <w:rPr>
                <w:rFonts w:asciiTheme="majorBidi" w:hAnsiTheme="majorBidi" w:cstheme="majorBidi"/>
                <w:sz w:val="18"/>
                <w:szCs w:val="18"/>
                <w:vertAlign w:val="superscript"/>
              </w:rPr>
              <w:t>**</w:t>
            </w:r>
          </w:p>
        </w:tc>
        <w:tc>
          <w:tcPr>
            <w:tcW w:w="657" w:type="dxa"/>
            <w:shd w:val="clear" w:color="auto" w:fill="auto"/>
            <w:noWrap/>
            <w:hideMark/>
          </w:tcPr>
          <w:p w14:paraId="2AFC957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.082</w:t>
            </w:r>
            <w:r w:rsidRPr="000B490A">
              <w:rPr>
                <w:rFonts w:asciiTheme="majorBidi" w:hAnsiTheme="majorBidi" w:cstheme="majorBidi"/>
                <w:sz w:val="18"/>
                <w:szCs w:val="18"/>
                <w:vertAlign w:val="superscript"/>
              </w:rPr>
              <w:t>**</w:t>
            </w:r>
          </w:p>
        </w:tc>
        <w:tc>
          <w:tcPr>
            <w:tcW w:w="657" w:type="dxa"/>
            <w:shd w:val="clear" w:color="auto" w:fill="auto"/>
            <w:noWrap/>
            <w:hideMark/>
          </w:tcPr>
          <w:p w14:paraId="36FF378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.870</w:t>
            </w:r>
            <w:r w:rsidRPr="000B490A">
              <w:rPr>
                <w:rFonts w:asciiTheme="majorBidi" w:hAnsiTheme="majorBidi" w:cstheme="majorBidi"/>
                <w:sz w:val="18"/>
                <w:szCs w:val="18"/>
                <w:vertAlign w:val="superscript"/>
              </w:rPr>
              <w:t>**</w:t>
            </w:r>
          </w:p>
        </w:tc>
        <w:tc>
          <w:tcPr>
            <w:tcW w:w="657" w:type="dxa"/>
            <w:shd w:val="clear" w:color="auto" w:fill="auto"/>
            <w:noWrap/>
            <w:hideMark/>
          </w:tcPr>
          <w:p w14:paraId="7802C19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.251</w:t>
            </w:r>
            <w:r w:rsidRPr="000B490A">
              <w:rPr>
                <w:rFonts w:asciiTheme="majorBidi" w:hAnsiTheme="majorBidi" w:cstheme="majorBidi"/>
                <w:sz w:val="18"/>
                <w:szCs w:val="18"/>
                <w:vertAlign w:val="superscript"/>
              </w:rPr>
              <w:t>**</w:t>
            </w:r>
          </w:p>
        </w:tc>
        <w:tc>
          <w:tcPr>
            <w:tcW w:w="658" w:type="dxa"/>
            <w:shd w:val="clear" w:color="auto" w:fill="auto"/>
            <w:noWrap/>
            <w:hideMark/>
          </w:tcPr>
          <w:p w14:paraId="1CCA700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.960</w:t>
            </w:r>
            <w:r w:rsidRPr="000B490A">
              <w:rPr>
                <w:rFonts w:asciiTheme="majorBidi" w:hAnsiTheme="majorBidi" w:cstheme="majorBidi"/>
                <w:sz w:val="18"/>
                <w:szCs w:val="18"/>
                <w:vertAlign w:val="superscript"/>
              </w:rPr>
              <w:t>**</w:t>
            </w:r>
          </w:p>
        </w:tc>
        <w:tc>
          <w:tcPr>
            <w:tcW w:w="657" w:type="dxa"/>
            <w:shd w:val="clear" w:color="auto" w:fill="auto"/>
            <w:noWrap/>
            <w:hideMark/>
          </w:tcPr>
          <w:p w14:paraId="1D38042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.867</w:t>
            </w:r>
            <w:r w:rsidRPr="000B490A">
              <w:rPr>
                <w:rFonts w:asciiTheme="majorBidi" w:hAnsiTheme="majorBidi" w:cstheme="majorBidi"/>
                <w:sz w:val="18"/>
                <w:szCs w:val="18"/>
                <w:vertAlign w:val="superscript"/>
              </w:rPr>
              <w:t>**</w:t>
            </w:r>
          </w:p>
        </w:tc>
        <w:tc>
          <w:tcPr>
            <w:tcW w:w="657" w:type="dxa"/>
            <w:shd w:val="clear" w:color="auto" w:fill="auto"/>
            <w:noWrap/>
            <w:hideMark/>
          </w:tcPr>
          <w:p w14:paraId="0902FBB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7" w:type="dxa"/>
            <w:shd w:val="clear" w:color="auto" w:fill="auto"/>
            <w:noWrap/>
            <w:hideMark/>
          </w:tcPr>
          <w:p w14:paraId="527F8F3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.741</w:t>
            </w:r>
            <w:r w:rsidRPr="000B490A">
              <w:rPr>
                <w:rFonts w:asciiTheme="majorBidi" w:hAnsiTheme="majorBidi" w:cstheme="majorBidi"/>
                <w:sz w:val="18"/>
                <w:szCs w:val="18"/>
                <w:vertAlign w:val="superscript"/>
              </w:rPr>
              <w:t>**</w:t>
            </w:r>
          </w:p>
        </w:tc>
        <w:tc>
          <w:tcPr>
            <w:tcW w:w="658" w:type="dxa"/>
            <w:shd w:val="clear" w:color="auto" w:fill="auto"/>
            <w:noWrap/>
            <w:hideMark/>
          </w:tcPr>
          <w:p w14:paraId="02A72FB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-.343</w:t>
            </w:r>
            <w:r w:rsidRPr="000B490A">
              <w:rPr>
                <w:rFonts w:asciiTheme="majorBidi" w:hAnsiTheme="majorBidi" w:cstheme="majorBidi"/>
                <w:sz w:val="18"/>
                <w:szCs w:val="18"/>
                <w:vertAlign w:val="superscript"/>
              </w:rPr>
              <w:t>**</w:t>
            </w:r>
          </w:p>
        </w:tc>
        <w:tc>
          <w:tcPr>
            <w:tcW w:w="657" w:type="dxa"/>
            <w:shd w:val="clear" w:color="auto" w:fill="auto"/>
            <w:noWrap/>
            <w:hideMark/>
          </w:tcPr>
          <w:p w14:paraId="62DE526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.290</w:t>
            </w:r>
            <w:r w:rsidRPr="000B490A">
              <w:rPr>
                <w:rFonts w:asciiTheme="majorBidi" w:hAnsiTheme="majorBidi" w:cstheme="majorBidi"/>
                <w:sz w:val="18"/>
                <w:szCs w:val="18"/>
                <w:vertAlign w:val="superscript"/>
              </w:rPr>
              <w:t>**</w:t>
            </w:r>
          </w:p>
        </w:tc>
        <w:tc>
          <w:tcPr>
            <w:tcW w:w="657" w:type="dxa"/>
            <w:shd w:val="clear" w:color="auto" w:fill="auto"/>
            <w:noWrap/>
            <w:hideMark/>
          </w:tcPr>
          <w:p w14:paraId="060CFC5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.094</w:t>
            </w:r>
            <w:r w:rsidRPr="000B490A">
              <w:rPr>
                <w:rFonts w:asciiTheme="majorBidi" w:hAnsiTheme="majorBidi" w:cstheme="majorBidi"/>
                <w:sz w:val="18"/>
                <w:szCs w:val="18"/>
                <w:vertAlign w:val="superscript"/>
              </w:rPr>
              <w:t>**</w:t>
            </w:r>
          </w:p>
        </w:tc>
        <w:tc>
          <w:tcPr>
            <w:tcW w:w="658" w:type="dxa"/>
          </w:tcPr>
          <w:p w14:paraId="3B3A415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.076</w:t>
            </w:r>
            <w:r w:rsidRPr="000B490A">
              <w:rPr>
                <w:rFonts w:asciiTheme="majorBidi" w:hAnsiTheme="majorBidi" w:cstheme="majorBidi"/>
                <w:sz w:val="18"/>
                <w:szCs w:val="18"/>
                <w:vertAlign w:val="superscript"/>
              </w:rPr>
              <w:t>**</w:t>
            </w:r>
          </w:p>
        </w:tc>
        <w:tc>
          <w:tcPr>
            <w:tcW w:w="658" w:type="dxa"/>
            <w:shd w:val="clear" w:color="auto" w:fill="auto"/>
            <w:noWrap/>
            <w:hideMark/>
          </w:tcPr>
          <w:p w14:paraId="44E8AFD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.127</w:t>
            </w:r>
            <w:r w:rsidRPr="000B490A">
              <w:rPr>
                <w:rFonts w:asciiTheme="majorBidi" w:hAnsiTheme="majorBidi" w:cstheme="majorBidi"/>
                <w:sz w:val="18"/>
                <w:szCs w:val="18"/>
                <w:vertAlign w:val="superscript"/>
              </w:rPr>
              <w:t>**</w:t>
            </w:r>
          </w:p>
        </w:tc>
        <w:tc>
          <w:tcPr>
            <w:tcW w:w="658" w:type="dxa"/>
          </w:tcPr>
          <w:p w14:paraId="2DAECF2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-.031</w:t>
            </w:r>
            <w:r w:rsidRPr="000B490A">
              <w:rPr>
                <w:rFonts w:asciiTheme="majorBidi" w:hAnsiTheme="majorBidi" w:cstheme="majorBidi"/>
                <w:sz w:val="18"/>
                <w:szCs w:val="18"/>
                <w:vertAlign w:val="superscript"/>
              </w:rPr>
              <w:t>**</w:t>
            </w:r>
          </w:p>
        </w:tc>
      </w:tr>
      <w:tr w:rsidR="00EA313E" w:rsidRPr="00E22546" w14:paraId="68A4AEE7" w14:textId="77777777" w:rsidTr="00F42F0F">
        <w:tc>
          <w:tcPr>
            <w:tcW w:w="1968" w:type="dxa"/>
            <w:shd w:val="clear" w:color="auto" w:fill="auto"/>
            <w:noWrap/>
            <w:vAlign w:val="center"/>
            <w:hideMark/>
          </w:tcPr>
          <w:p w14:paraId="73239952"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Governance Pillar </w:t>
            </w:r>
          </w:p>
        </w:tc>
        <w:tc>
          <w:tcPr>
            <w:tcW w:w="657" w:type="dxa"/>
            <w:shd w:val="clear" w:color="auto" w:fill="auto"/>
            <w:noWrap/>
            <w:hideMark/>
          </w:tcPr>
          <w:p w14:paraId="37BDE67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.457</w:t>
            </w:r>
            <w:r w:rsidRPr="000B490A">
              <w:rPr>
                <w:rFonts w:asciiTheme="majorBidi" w:hAnsiTheme="majorBidi" w:cstheme="majorBidi"/>
                <w:sz w:val="18"/>
                <w:szCs w:val="18"/>
                <w:vertAlign w:val="superscript"/>
              </w:rPr>
              <w:t>**</w:t>
            </w:r>
          </w:p>
        </w:tc>
        <w:tc>
          <w:tcPr>
            <w:tcW w:w="657" w:type="dxa"/>
            <w:shd w:val="clear" w:color="auto" w:fill="auto"/>
            <w:noWrap/>
            <w:hideMark/>
          </w:tcPr>
          <w:p w14:paraId="0B3FFB1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-.182</w:t>
            </w:r>
            <w:r w:rsidRPr="000B490A">
              <w:rPr>
                <w:rFonts w:asciiTheme="majorBidi" w:hAnsiTheme="majorBidi" w:cstheme="majorBidi"/>
                <w:sz w:val="18"/>
                <w:szCs w:val="18"/>
                <w:vertAlign w:val="superscript"/>
              </w:rPr>
              <w:t>**</w:t>
            </w:r>
          </w:p>
        </w:tc>
        <w:tc>
          <w:tcPr>
            <w:tcW w:w="657" w:type="dxa"/>
            <w:shd w:val="clear" w:color="auto" w:fill="auto"/>
            <w:noWrap/>
            <w:hideMark/>
          </w:tcPr>
          <w:p w14:paraId="3090653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-.031</w:t>
            </w:r>
            <w:r w:rsidRPr="000B490A">
              <w:rPr>
                <w:rFonts w:asciiTheme="majorBidi" w:hAnsiTheme="majorBidi" w:cstheme="majorBidi"/>
                <w:sz w:val="18"/>
                <w:szCs w:val="18"/>
                <w:vertAlign w:val="superscript"/>
              </w:rPr>
              <w:t>**</w:t>
            </w:r>
          </w:p>
        </w:tc>
        <w:tc>
          <w:tcPr>
            <w:tcW w:w="658" w:type="dxa"/>
            <w:shd w:val="clear" w:color="auto" w:fill="auto"/>
            <w:noWrap/>
            <w:hideMark/>
          </w:tcPr>
          <w:p w14:paraId="2E88C4B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.168</w:t>
            </w:r>
            <w:r w:rsidRPr="000B490A">
              <w:rPr>
                <w:rFonts w:asciiTheme="majorBidi" w:hAnsiTheme="majorBidi" w:cstheme="majorBidi"/>
                <w:sz w:val="18"/>
                <w:szCs w:val="18"/>
                <w:vertAlign w:val="superscript"/>
              </w:rPr>
              <w:t>**</w:t>
            </w:r>
          </w:p>
        </w:tc>
        <w:tc>
          <w:tcPr>
            <w:tcW w:w="657" w:type="dxa"/>
            <w:shd w:val="clear" w:color="auto" w:fill="auto"/>
            <w:noWrap/>
            <w:hideMark/>
          </w:tcPr>
          <w:p w14:paraId="4FEFFF2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.083</w:t>
            </w:r>
            <w:r w:rsidRPr="000B490A">
              <w:rPr>
                <w:rFonts w:asciiTheme="majorBidi" w:hAnsiTheme="majorBidi" w:cstheme="majorBidi"/>
                <w:sz w:val="18"/>
                <w:szCs w:val="18"/>
                <w:vertAlign w:val="superscript"/>
              </w:rPr>
              <w:t>**</w:t>
            </w:r>
          </w:p>
        </w:tc>
        <w:tc>
          <w:tcPr>
            <w:tcW w:w="657" w:type="dxa"/>
            <w:shd w:val="clear" w:color="auto" w:fill="auto"/>
            <w:noWrap/>
            <w:hideMark/>
          </w:tcPr>
          <w:p w14:paraId="451CE82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.819</w:t>
            </w:r>
            <w:r w:rsidRPr="000B490A">
              <w:rPr>
                <w:rFonts w:asciiTheme="majorBidi" w:hAnsiTheme="majorBidi" w:cstheme="majorBidi"/>
                <w:sz w:val="18"/>
                <w:szCs w:val="18"/>
                <w:vertAlign w:val="superscript"/>
              </w:rPr>
              <w:t>**</w:t>
            </w:r>
          </w:p>
        </w:tc>
        <w:tc>
          <w:tcPr>
            <w:tcW w:w="657" w:type="dxa"/>
            <w:shd w:val="clear" w:color="auto" w:fill="auto"/>
            <w:noWrap/>
            <w:hideMark/>
          </w:tcPr>
          <w:p w14:paraId="0103816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.385</w:t>
            </w:r>
            <w:r w:rsidRPr="000B490A">
              <w:rPr>
                <w:rFonts w:asciiTheme="majorBidi" w:hAnsiTheme="majorBidi" w:cstheme="majorBidi"/>
                <w:sz w:val="18"/>
                <w:szCs w:val="18"/>
                <w:vertAlign w:val="superscript"/>
              </w:rPr>
              <w:t>**</w:t>
            </w:r>
          </w:p>
        </w:tc>
        <w:tc>
          <w:tcPr>
            <w:tcW w:w="658" w:type="dxa"/>
            <w:shd w:val="clear" w:color="auto" w:fill="auto"/>
            <w:noWrap/>
            <w:hideMark/>
          </w:tcPr>
          <w:p w14:paraId="7E8826B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.862</w:t>
            </w:r>
            <w:r w:rsidRPr="000B490A">
              <w:rPr>
                <w:rFonts w:asciiTheme="majorBidi" w:hAnsiTheme="majorBidi" w:cstheme="majorBidi"/>
                <w:sz w:val="18"/>
                <w:szCs w:val="18"/>
                <w:vertAlign w:val="superscript"/>
              </w:rPr>
              <w:t>**</w:t>
            </w:r>
          </w:p>
        </w:tc>
        <w:tc>
          <w:tcPr>
            <w:tcW w:w="657" w:type="dxa"/>
            <w:shd w:val="clear" w:color="auto" w:fill="auto"/>
            <w:noWrap/>
            <w:hideMark/>
          </w:tcPr>
          <w:p w14:paraId="4841C2E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.669</w:t>
            </w:r>
            <w:r w:rsidRPr="000B490A">
              <w:rPr>
                <w:rFonts w:asciiTheme="majorBidi" w:hAnsiTheme="majorBidi" w:cstheme="majorBidi"/>
                <w:sz w:val="18"/>
                <w:szCs w:val="18"/>
                <w:vertAlign w:val="superscript"/>
              </w:rPr>
              <w:t>**</w:t>
            </w:r>
          </w:p>
        </w:tc>
        <w:tc>
          <w:tcPr>
            <w:tcW w:w="657" w:type="dxa"/>
            <w:shd w:val="clear" w:color="auto" w:fill="auto"/>
            <w:noWrap/>
            <w:hideMark/>
          </w:tcPr>
          <w:p w14:paraId="1DDDD79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.741</w:t>
            </w:r>
            <w:r w:rsidRPr="000B490A">
              <w:rPr>
                <w:rFonts w:asciiTheme="majorBidi" w:hAnsiTheme="majorBidi" w:cstheme="majorBidi"/>
                <w:sz w:val="18"/>
                <w:szCs w:val="18"/>
                <w:vertAlign w:val="superscript"/>
              </w:rPr>
              <w:t>**</w:t>
            </w:r>
          </w:p>
        </w:tc>
        <w:tc>
          <w:tcPr>
            <w:tcW w:w="657" w:type="dxa"/>
            <w:shd w:val="clear" w:color="auto" w:fill="auto"/>
            <w:noWrap/>
            <w:hideMark/>
          </w:tcPr>
          <w:p w14:paraId="62A4183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w:t>
            </w:r>
          </w:p>
        </w:tc>
        <w:tc>
          <w:tcPr>
            <w:tcW w:w="658" w:type="dxa"/>
            <w:shd w:val="clear" w:color="auto" w:fill="auto"/>
            <w:noWrap/>
            <w:hideMark/>
          </w:tcPr>
          <w:p w14:paraId="4C40D7F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-.269</w:t>
            </w:r>
            <w:r w:rsidRPr="000B490A">
              <w:rPr>
                <w:rFonts w:asciiTheme="majorBidi" w:hAnsiTheme="majorBidi" w:cstheme="majorBidi"/>
                <w:sz w:val="18"/>
                <w:szCs w:val="18"/>
                <w:vertAlign w:val="superscript"/>
              </w:rPr>
              <w:t>**</w:t>
            </w:r>
          </w:p>
        </w:tc>
        <w:tc>
          <w:tcPr>
            <w:tcW w:w="657" w:type="dxa"/>
            <w:shd w:val="clear" w:color="auto" w:fill="auto"/>
            <w:noWrap/>
            <w:hideMark/>
          </w:tcPr>
          <w:p w14:paraId="6EA9A8C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.188</w:t>
            </w:r>
            <w:r w:rsidRPr="000B490A">
              <w:rPr>
                <w:rFonts w:asciiTheme="majorBidi" w:hAnsiTheme="majorBidi" w:cstheme="majorBidi"/>
                <w:sz w:val="18"/>
                <w:szCs w:val="18"/>
                <w:vertAlign w:val="superscript"/>
              </w:rPr>
              <w:t>**</w:t>
            </w:r>
          </w:p>
        </w:tc>
        <w:tc>
          <w:tcPr>
            <w:tcW w:w="657" w:type="dxa"/>
            <w:shd w:val="clear" w:color="auto" w:fill="auto"/>
            <w:noWrap/>
            <w:hideMark/>
          </w:tcPr>
          <w:p w14:paraId="7DBC747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.107</w:t>
            </w:r>
            <w:r w:rsidRPr="000B490A">
              <w:rPr>
                <w:rFonts w:asciiTheme="majorBidi" w:hAnsiTheme="majorBidi" w:cstheme="majorBidi"/>
                <w:sz w:val="18"/>
                <w:szCs w:val="18"/>
                <w:vertAlign w:val="superscript"/>
              </w:rPr>
              <w:t>**</w:t>
            </w:r>
          </w:p>
        </w:tc>
        <w:tc>
          <w:tcPr>
            <w:tcW w:w="658" w:type="dxa"/>
          </w:tcPr>
          <w:p w14:paraId="41CBFC0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.038</w:t>
            </w:r>
            <w:r w:rsidRPr="000B490A">
              <w:rPr>
                <w:rFonts w:asciiTheme="majorBidi" w:hAnsiTheme="majorBidi" w:cstheme="majorBidi"/>
                <w:sz w:val="18"/>
                <w:szCs w:val="18"/>
                <w:vertAlign w:val="superscript"/>
              </w:rPr>
              <w:t>**</w:t>
            </w:r>
          </w:p>
        </w:tc>
        <w:tc>
          <w:tcPr>
            <w:tcW w:w="658" w:type="dxa"/>
            <w:shd w:val="clear" w:color="auto" w:fill="auto"/>
            <w:noWrap/>
            <w:hideMark/>
          </w:tcPr>
          <w:p w14:paraId="49905E7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.077</w:t>
            </w:r>
            <w:r w:rsidRPr="000B490A">
              <w:rPr>
                <w:rFonts w:asciiTheme="majorBidi" w:hAnsiTheme="majorBidi" w:cstheme="majorBidi"/>
                <w:sz w:val="18"/>
                <w:szCs w:val="18"/>
                <w:vertAlign w:val="superscript"/>
              </w:rPr>
              <w:t>**</w:t>
            </w:r>
          </w:p>
        </w:tc>
        <w:tc>
          <w:tcPr>
            <w:tcW w:w="658" w:type="dxa"/>
          </w:tcPr>
          <w:p w14:paraId="42844DA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rPr>
            </w:pPr>
            <w:r w:rsidRPr="000B490A">
              <w:rPr>
                <w:rFonts w:asciiTheme="majorBidi" w:hAnsiTheme="majorBidi" w:cstheme="majorBidi"/>
                <w:sz w:val="18"/>
                <w:szCs w:val="18"/>
              </w:rPr>
              <w:t>-.027</w:t>
            </w:r>
            <w:r w:rsidRPr="000B490A">
              <w:rPr>
                <w:rFonts w:asciiTheme="majorBidi" w:hAnsiTheme="majorBidi" w:cstheme="majorBidi"/>
                <w:sz w:val="18"/>
                <w:szCs w:val="18"/>
                <w:vertAlign w:val="superscript"/>
              </w:rPr>
              <w:t>*</w:t>
            </w:r>
          </w:p>
        </w:tc>
      </w:tr>
      <w:tr w:rsidR="00EA313E" w:rsidRPr="00E22546" w14:paraId="2D505F5C" w14:textId="77777777" w:rsidTr="00F42F0F">
        <w:tc>
          <w:tcPr>
            <w:tcW w:w="1968" w:type="dxa"/>
            <w:shd w:val="clear" w:color="auto" w:fill="auto"/>
            <w:noWrap/>
            <w:vAlign w:val="center"/>
            <w:hideMark/>
          </w:tcPr>
          <w:p w14:paraId="10D6B195" w14:textId="77777777" w:rsidR="00EA313E" w:rsidRPr="00E22546" w:rsidRDefault="00EA313E" w:rsidP="00F42F0F">
            <w:pPr>
              <w:widowControl/>
              <w:autoSpaceDE/>
              <w:autoSpaceDN/>
              <w:rPr>
                <w:rFonts w:asciiTheme="majorBidi" w:hAnsiTheme="majorBidi" w:cstheme="majorBidi"/>
                <w14:ligatures w14:val="none"/>
              </w:rPr>
            </w:pPr>
            <w:r>
              <w:rPr>
                <w:rFonts w:asciiTheme="majorBidi" w:hAnsiTheme="majorBidi" w:cstheme="majorBidi"/>
                <w:sz w:val="24"/>
                <w:szCs w:val="24"/>
              </w:rPr>
              <w:t>Y</w:t>
            </w:r>
            <w:r w:rsidRPr="008B05A0">
              <w:rPr>
                <w:rFonts w:asciiTheme="majorBidi" w:hAnsiTheme="majorBidi" w:cstheme="majorBidi"/>
                <w:sz w:val="24"/>
                <w:szCs w:val="24"/>
              </w:rPr>
              <w:t>ield</w:t>
            </w:r>
            <w:r>
              <w:rPr>
                <w:color w:val="000000"/>
              </w:rPr>
              <w:t xml:space="preserve"> Spread</w:t>
            </w:r>
          </w:p>
        </w:tc>
        <w:tc>
          <w:tcPr>
            <w:tcW w:w="657" w:type="dxa"/>
            <w:shd w:val="clear" w:color="auto" w:fill="auto"/>
            <w:noWrap/>
            <w:hideMark/>
          </w:tcPr>
          <w:p w14:paraId="1767568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-.389</w:t>
            </w:r>
            <w:r w:rsidRPr="000B490A">
              <w:rPr>
                <w:rFonts w:asciiTheme="majorBidi" w:hAnsiTheme="majorBidi" w:cstheme="majorBidi"/>
                <w:sz w:val="18"/>
                <w:szCs w:val="18"/>
                <w:vertAlign w:val="superscript"/>
              </w:rPr>
              <w:t>**</w:t>
            </w:r>
          </w:p>
        </w:tc>
        <w:tc>
          <w:tcPr>
            <w:tcW w:w="657" w:type="dxa"/>
            <w:shd w:val="clear" w:color="auto" w:fill="auto"/>
            <w:noWrap/>
            <w:hideMark/>
          </w:tcPr>
          <w:p w14:paraId="72704C9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.261</w:t>
            </w:r>
            <w:r w:rsidRPr="000B490A">
              <w:rPr>
                <w:rFonts w:asciiTheme="majorBidi" w:hAnsiTheme="majorBidi" w:cstheme="majorBidi"/>
                <w:sz w:val="18"/>
                <w:szCs w:val="18"/>
                <w:vertAlign w:val="superscript"/>
              </w:rPr>
              <w:t>**</w:t>
            </w:r>
          </w:p>
        </w:tc>
        <w:tc>
          <w:tcPr>
            <w:tcW w:w="657" w:type="dxa"/>
            <w:shd w:val="clear" w:color="auto" w:fill="auto"/>
            <w:noWrap/>
            <w:hideMark/>
          </w:tcPr>
          <w:p w14:paraId="59382AB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.046</w:t>
            </w:r>
            <w:r w:rsidRPr="000B490A">
              <w:rPr>
                <w:rFonts w:asciiTheme="majorBidi" w:hAnsiTheme="majorBidi" w:cstheme="majorBidi"/>
                <w:sz w:val="18"/>
                <w:szCs w:val="18"/>
                <w:vertAlign w:val="superscript"/>
              </w:rPr>
              <w:t>**</w:t>
            </w:r>
          </w:p>
        </w:tc>
        <w:tc>
          <w:tcPr>
            <w:tcW w:w="658" w:type="dxa"/>
            <w:shd w:val="clear" w:color="auto" w:fill="auto"/>
            <w:noWrap/>
            <w:hideMark/>
          </w:tcPr>
          <w:p w14:paraId="5ACC1FF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-.298</w:t>
            </w:r>
            <w:r w:rsidRPr="000B490A">
              <w:rPr>
                <w:rFonts w:asciiTheme="majorBidi" w:hAnsiTheme="majorBidi" w:cstheme="majorBidi"/>
                <w:sz w:val="18"/>
                <w:szCs w:val="18"/>
                <w:vertAlign w:val="superscript"/>
              </w:rPr>
              <w:t>**</w:t>
            </w:r>
          </w:p>
        </w:tc>
        <w:tc>
          <w:tcPr>
            <w:tcW w:w="657" w:type="dxa"/>
            <w:shd w:val="clear" w:color="auto" w:fill="auto"/>
            <w:noWrap/>
            <w:hideMark/>
          </w:tcPr>
          <w:p w14:paraId="63F37DB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-.109</w:t>
            </w:r>
            <w:r w:rsidRPr="000B490A">
              <w:rPr>
                <w:rFonts w:asciiTheme="majorBidi" w:hAnsiTheme="majorBidi" w:cstheme="majorBidi"/>
                <w:sz w:val="18"/>
                <w:szCs w:val="18"/>
                <w:vertAlign w:val="superscript"/>
              </w:rPr>
              <w:t>**</w:t>
            </w:r>
          </w:p>
        </w:tc>
        <w:tc>
          <w:tcPr>
            <w:tcW w:w="657" w:type="dxa"/>
            <w:shd w:val="clear" w:color="auto" w:fill="auto"/>
            <w:noWrap/>
            <w:hideMark/>
          </w:tcPr>
          <w:p w14:paraId="0F2A51F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-.291</w:t>
            </w:r>
            <w:r w:rsidRPr="000B490A">
              <w:rPr>
                <w:rFonts w:asciiTheme="majorBidi" w:hAnsiTheme="majorBidi" w:cstheme="majorBidi"/>
                <w:sz w:val="18"/>
                <w:szCs w:val="18"/>
                <w:vertAlign w:val="superscript"/>
              </w:rPr>
              <w:t>**</w:t>
            </w:r>
          </w:p>
        </w:tc>
        <w:tc>
          <w:tcPr>
            <w:tcW w:w="657" w:type="dxa"/>
            <w:shd w:val="clear" w:color="auto" w:fill="auto"/>
            <w:noWrap/>
            <w:hideMark/>
          </w:tcPr>
          <w:p w14:paraId="65970F9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-.033</w:t>
            </w:r>
            <w:r w:rsidRPr="000B490A">
              <w:rPr>
                <w:rFonts w:asciiTheme="majorBidi" w:hAnsiTheme="majorBidi" w:cstheme="majorBidi"/>
                <w:sz w:val="18"/>
                <w:szCs w:val="18"/>
                <w:vertAlign w:val="superscript"/>
              </w:rPr>
              <w:t>**</w:t>
            </w:r>
          </w:p>
        </w:tc>
        <w:tc>
          <w:tcPr>
            <w:tcW w:w="658" w:type="dxa"/>
            <w:shd w:val="clear" w:color="auto" w:fill="auto"/>
            <w:noWrap/>
            <w:hideMark/>
          </w:tcPr>
          <w:p w14:paraId="6F3E5A7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-.342</w:t>
            </w:r>
            <w:r w:rsidRPr="000B490A">
              <w:rPr>
                <w:rFonts w:asciiTheme="majorBidi" w:hAnsiTheme="majorBidi" w:cstheme="majorBidi"/>
                <w:sz w:val="18"/>
                <w:szCs w:val="18"/>
                <w:vertAlign w:val="superscript"/>
              </w:rPr>
              <w:t>**</w:t>
            </w:r>
          </w:p>
        </w:tc>
        <w:tc>
          <w:tcPr>
            <w:tcW w:w="657" w:type="dxa"/>
            <w:shd w:val="clear" w:color="auto" w:fill="auto"/>
            <w:noWrap/>
            <w:hideMark/>
          </w:tcPr>
          <w:p w14:paraId="46225B8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-.326</w:t>
            </w:r>
            <w:r w:rsidRPr="000B490A">
              <w:rPr>
                <w:rFonts w:asciiTheme="majorBidi" w:hAnsiTheme="majorBidi" w:cstheme="majorBidi"/>
                <w:sz w:val="18"/>
                <w:szCs w:val="18"/>
                <w:vertAlign w:val="superscript"/>
              </w:rPr>
              <w:t>**</w:t>
            </w:r>
          </w:p>
        </w:tc>
        <w:tc>
          <w:tcPr>
            <w:tcW w:w="657" w:type="dxa"/>
            <w:shd w:val="clear" w:color="auto" w:fill="auto"/>
            <w:noWrap/>
            <w:hideMark/>
          </w:tcPr>
          <w:p w14:paraId="2F1F310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-.343</w:t>
            </w:r>
            <w:r w:rsidRPr="000B490A">
              <w:rPr>
                <w:rFonts w:asciiTheme="majorBidi" w:hAnsiTheme="majorBidi" w:cstheme="majorBidi"/>
                <w:sz w:val="18"/>
                <w:szCs w:val="18"/>
                <w:vertAlign w:val="superscript"/>
              </w:rPr>
              <w:t>**</w:t>
            </w:r>
          </w:p>
        </w:tc>
        <w:tc>
          <w:tcPr>
            <w:tcW w:w="657" w:type="dxa"/>
            <w:shd w:val="clear" w:color="auto" w:fill="auto"/>
            <w:noWrap/>
            <w:hideMark/>
          </w:tcPr>
          <w:p w14:paraId="5AA8963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-.269</w:t>
            </w:r>
            <w:r w:rsidRPr="000B490A">
              <w:rPr>
                <w:rFonts w:asciiTheme="majorBidi" w:hAnsiTheme="majorBidi" w:cstheme="majorBidi"/>
                <w:sz w:val="18"/>
                <w:szCs w:val="18"/>
                <w:vertAlign w:val="superscript"/>
              </w:rPr>
              <w:t>**</w:t>
            </w:r>
          </w:p>
        </w:tc>
        <w:tc>
          <w:tcPr>
            <w:tcW w:w="658" w:type="dxa"/>
            <w:shd w:val="clear" w:color="auto" w:fill="auto"/>
            <w:noWrap/>
            <w:hideMark/>
          </w:tcPr>
          <w:p w14:paraId="10985A9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w:t>
            </w:r>
          </w:p>
        </w:tc>
        <w:tc>
          <w:tcPr>
            <w:tcW w:w="657" w:type="dxa"/>
            <w:shd w:val="clear" w:color="auto" w:fill="auto"/>
            <w:noWrap/>
            <w:hideMark/>
          </w:tcPr>
          <w:p w14:paraId="3FD7D75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-.199</w:t>
            </w:r>
            <w:r w:rsidRPr="000B490A">
              <w:rPr>
                <w:rFonts w:asciiTheme="majorBidi" w:hAnsiTheme="majorBidi" w:cstheme="majorBidi"/>
                <w:sz w:val="18"/>
                <w:szCs w:val="18"/>
                <w:vertAlign w:val="superscript"/>
              </w:rPr>
              <w:t>**</w:t>
            </w:r>
          </w:p>
        </w:tc>
        <w:tc>
          <w:tcPr>
            <w:tcW w:w="657" w:type="dxa"/>
            <w:shd w:val="clear" w:color="auto" w:fill="auto"/>
            <w:noWrap/>
            <w:hideMark/>
          </w:tcPr>
          <w:p w14:paraId="566D6DA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-.059</w:t>
            </w:r>
            <w:r w:rsidRPr="000B490A">
              <w:rPr>
                <w:rFonts w:asciiTheme="majorBidi" w:hAnsiTheme="majorBidi" w:cstheme="majorBidi"/>
                <w:sz w:val="18"/>
                <w:szCs w:val="18"/>
                <w:vertAlign w:val="superscript"/>
              </w:rPr>
              <w:t>**</w:t>
            </w:r>
          </w:p>
        </w:tc>
        <w:tc>
          <w:tcPr>
            <w:tcW w:w="658" w:type="dxa"/>
          </w:tcPr>
          <w:p w14:paraId="3F13ED2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.102</w:t>
            </w:r>
            <w:r w:rsidRPr="000B490A">
              <w:rPr>
                <w:rFonts w:asciiTheme="majorBidi" w:hAnsiTheme="majorBidi" w:cstheme="majorBidi"/>
                <w:sz w:val="18"/>
                <w:szCs w:val="18"/>
                <w:vertAlign w:val="superscript"/>
              </w:rPr>
              <w:t>**</w:t>
            </w:r>
          </w:p>
        </w:tc>
        <w:tc>
          <w:tcPr>
            <w:tcW w:w="658" w:type="dxa"/>
            <w:shd w:val="clear" w:color="auto" w:fill="auto"/>
            <w:noWrap/>
            <w:hideMark/>
          </w:tcPr>
          <w:p w14:paraId="7A7E541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-.133</w:t>
            </w:r>
            <w:r w:rsidRPr="000B490A">
              <w:rPr>
                <w:rFonts w:asciiTheme="majorBidi" w:hAnsiTheme="majorBidi" w:cstheme="majorBidi"/>
                <w:sz w:val="18"/>
                <w:szCs w:val="18"/>
                <w:vertAlign w:val="superscript"/>
              </w:rPr>
              <w:t>**</w:t>
            </w:r>
          </w:p>
        </w:tc>
        <w:tc>
          <w:tcPr>
            <w:tcW w:w="658" w:type="dxa"/>
          </w:tcPr>
          <w:p w14:paraId="5B6E30B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rPr>
            </w:pPr>
            <w:r w:rsidRPr="000B490A">
              <w:rPr>
                <w:rFonts w:asciiTheme="majorBidi" w:hAnsiTheme="majorBidi" w:cstheme="majorBidi"/>
                <w:sz w:val="18"/>
                <w:szCs w:val="18"/>
              </w:rPr>
              <w:t>0.016</w:t>
            </w:r>
          </w:p>
        </w:tc>
      </w:tr>
      <w:tr w:rsidR="00EA313E" w:rsidRPr="00E22546" w14:paraId="7300ED31" w14:textId="77777777" w:rsidTr="00F42F0F">
        <w:tc>
          <w:tcPr>
            <w:tcW w:w="1968" w:type="dxa"/>
            <w:shd w:val="clear" w:color="auto" w:fill="auto"/>
            <w:noWrap/>
            <w:vAlign w:val="center"/>
            <w:hideMark/>
          </w:tcPr>
          <w:p w14:paraId="7F6715B3"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Moody's Rating </w:t>
            </w:r>
          </w:p>
        </w:tc>
        <w:tc>
          <w:tcPr>
            <w:tcW w:w="657" w:type="dxa"/>
            <w:shd w:val="clear" w:color="auto" w:fill="auto"/>
            <w:noWrap/>
            <w:hideMark/>
          </w:tcPr>
          <w:p w14:paraId="30B8669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.372</w:t>
            </w:r>
            <w:r w:rsidRPr="000B490A">
              <w:rPr>
                <w:rFonts w:asciiTheme="majorBidi" w:hAnsiTheme="majorBidi" w:cstheme="majorBidi"/>
                <w:sz w:val="18"/>
                <w:szCs w:val="18"/>
                <w:vertAlign w:val="superscript"/>
              </w:rPr>
              <w:t>**</w:t>
            </w:r>
          </w:p>
        </w:tc>
        <w:tc>
          <w:tcPr>
            <w:tcW w:w="657" w:type="dxa"/>
            <w:shd w:val="clear" w:color="auto" w:fill="auto"/>
            <w:noWrap/>
            <w:hideMark/>
          </w:tcPr>
          <w:p w14:paraId="2D44A4B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-.122</w:t>
            </w:r>
            <w:r w:rsidRPr="000B490A">
              <w:rPr>
                <w:rFonts w:asciiTheme="majorBidi" w:hAnsiTheme="majorBidi" w:cstheme="majorBidi"/>
                <w:sz w:val="18"/>
                <w:szCs w:val="18"/>
                <w:vertAlign w:val="superscript"/>
              </w:rPr>
              <w:t>**</w:t>
            </w:r>
          </w:p>
        </w:tc>
        <w:tc>
          <w:tcPr>
            <w:tcW w:w="657" w:type="dxa"/>
            <w:shd w:val="clear" w:color="auto" w:fill="auto"/>
            <w:noWrap/>
            <w:hideMark/>
          </w:tcPr>
          <w:p w14:paraId="3D6FF5F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.097</w:t>
            </w:r>
            <w:r w:rsidRPr="000B490A">
              <w:rPr>
                <w:rFonts w:asciiTheme="majorBidi" w:hAnsiTheme="majorBidi" w:cstheme="majorBidi"/>
                <w:sz w:val="18"/>
                <w:szCs w:val="18"/>
                <w:vertAlign w:val="superscript"/>
              </w:rPr>
              <w:t>**</w:t>
            </w:r>
          </w:p>
        </w:tc>
        <w:tc>
          <w:tcPr>
            <w:tcW w:w="658" w:type="dxa"/>
            <w:shd w:val="clear" w:color="auto" w:fill="auto"/>
            <w:noWrap/>
            <w:hideMark/>
          </w:tcPr>
          <w:p w14:paraId="0B3BFDB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.144</w:t>
            </w:r>
            <w:r w:rsidRPr="000B490A">
              <w:rPr>
                <w:rFonts w:asciiTheme="majorBidi" w:hAnsiTheme="majorBidi" w:cstheme="majorBidi"/>
                <w:sz w:val="18"/>
                <w:szCs w:val="18"/>
                <w:vertAlign w:val="superscript"/>
              </w:rPr>
              <w:t>**</w:t>
            </w:r>
          </w:p>
        </w:tc>
        <w:tc>
          <w:tcPr>
            <w:tcW w:w="657" w:type="dxa"/>
            <w:shd w:val="clear" w:color="auto" w:fill="auto"/>
            <w:noWrap/>
            <w:hideMark/>
          </w:tcPr>
          <w:p w14:paraId="178222E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.065</w:t>
            </w:r>
            <w:r w:rsidRPr="000B490A">
              <w:rPr>
                <w:rFonts w:asciiTheme="majorBidi" w:hAnsiTheme="majorBidi" w:cstheme="majorBidi"/>
                <w:sz w:val="18"/>
                <w:szCs w:val="18"/>
                <w:vertAlign w:val="superscript"/>
              </w:rPr>
              <w:t>**</w:t>
            </w:r>
          </w:p>
        </w:tc>
        <w:tc>
          <w:tcPr>
            <w:tcW w:w="657" w:type="dxa"/>
            <w:shd w:val="clear" w:color="auto" w:fill="auto"/>
            <w:noWrap/>
            <w:hideMark/>
          </w:tcPr>
          <w:p w14:paraId="76822A0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.187</w:t>
            </w:r>
            <w:r w:rsidRPr="000B490A">
              <w:rPr>
                <w:rFonts w:asciiTheme="majorBidi" w:hAnsiTheme="majorBidi" w:cstheme="majorBidi"/>
                <w:sz w:val="18"/>
                <w:szCs w:val="18"/>
                <w:vertAlign w:val="superscript"/>
              </w:rPr>
              <w:t>**</w:t>
            </w:r>
          </w:p>
        </w:tc>
        <w:tc>
          <w:tcPr>
            <w:tcW w:w="657" w:type="dxa"/>
            <w:shd w:val="clear" w:color="auto" w:fill="auto"/>
            <w:noWrap/>
            <w:hideMark/>
          </w:tcPr>
          <w:p w14:paraId="7A92F8C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-.113</w:t>
            </w:r>
            <w:r w:rsidRPr="000B490A">
              <w:rPr>
                <w:rFonts w:asciiTheme="majorBidi" w:hAnsiTheme="majorBidi" w:cstheme="majorBidi"/>
                <w:sz w:val="18"/>
                <w:szCs w:val="18"/>
                <w:vertAlign w:val="superscript"/>
              </w:rPr>
              <w:t>**</w:t>
            </w:r>
          </w:p>
        </w:tc>
        <w:tc>
          <w:tcPr>
            <w:tcW w:w="658" w:type="dxa"/>
            <w:shd w:val="clear" w:color="auto" w:fill="auto"/>
            <w:noWrap/>
            <w:hideMark/>
          </w:tcPr>
          <w:p w14:paraId="735FBB6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.291</w:t>
            </w:r>
            <w:r w:rsidRPr="000B490A">
              <w:rPr>
                <w:rFonts w:asciiTheme="majorBidi" w:hAnsiTheme="majorBidi" w:cstheme="majorBidi"/>
                <w:sz w:val="18"/>
                <w:szCs w:val="18"/>
                <w:vertAlign w:val="superscript"/>
              </w:rPr>
              <w:t>**</w:t>
            </w:r>
          </w:p>
        </w:tc>
        <w:tc>
          <w:tcPr>
            <w:tcW w:w="657" w:type="dxa"/>
            <w:shd w:val="clear" w:color="auto" w:fill="auto"/>
            <w:noWrap/>
            <w:hideMark/>
          </w:tcPr>
          <w:p w14:paraId="3AA4F35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.325</w:t>
            </w:r>
            <w:r w:rsidRPr="000B490A">
              <w:rPr>
                <w:rFonts w:asciiTheme="majorBidi" w:hAnsiTheme="majorBidi" w:cstheme="majorBidi"/>
                <w:sz w:val="18"/>
                <w:szCs w:val="18"/>
                <w:vertAlign w:val="superscript"/>
              </w:rPr>
              <w:t>**</w:t>
            </w:r>
          </w:p>
        </w:tc>
        <w:tc>
          <w:tcPr>
            <w:tcW w:w="657" w:type="dxa"/>
            <w:shd w:val="clear" w:color="auto" w:fill="auto"/>
            <w:noWrap/>
            <w:hideMark/>
          </w:tcPr>
          <w:p w14:paraId="651784B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.290</w:t>
            </w:r>
            <w:r w:rsidRPr="000B490A">
              <w:rPr>
                <w:rFonts w:asciiTheme="majorBidi" w:hAnsiTheme="majorBidi" w:cstheme="majorBidi"/>
                <w:sz w:val="18"/>
                <w:szCs w:val="18"/>
                <w:vertAlign w:val="superscript"/>
              </w:rPr>
              <w:t>**</w:t>
            </w:r>
          </w:p>
        </w:tc>
        <w:tc>
          <w:tcPr>
            <w:tcW w:w="657" w:type="dxa"/>
            <w:shd w:val="clear" w:color="auto" w:fill="auto"/>
            <w:noWrap/>
            <w:hideMark/>
          </w:tcPr>
          <w:p w14:paraId="524AC72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.188</w:t>
            </w:r>
            <w:r w:rsidRPr="000B490A">
              <w:rPr>
                <w:rFonts w:asciiTheme="majorBidi" w:hAnsiTheme="majorBidi" w:cstheme="majorBidi"/>
                <w:sz w:val="18"/>
                <w:szCs w:val="18"/>
                <w:vertAlign w:val="superscript"/>
              </w:rPr>
              <w:t>**</w:t>
            </w:r>
          </w:p>
        </w:tc>
        <w:tc>
          <w:tcPr>
            <w:tcW w:w="658" w:type="dxa"/>
            <w:shd w:val="clear" w:color="auto" w:fill="auto"/>
            <w:noWrap/>
            <w:hideMark/>
          </w:tcPr>
          <w:p w14:paraId="19C7143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-.199</w:t>
            </w:r>
            <w:r w:rsidRPr="000B490A">
              <w:rPr>
                <w:rFonts w:asciiTheme="majorBidi" w:hAnsiTheme="majorBidi" w:cstheme="majorBidi"/>
                <w:sz w:val="18"/>
                <w:szCs w:val="18"/>
                <w:vertAlign w:val="superscript"/>
              </w:rPr>
              <w:t>**</w:t>
            </w:r>
          </w:p>
        </w:tc>
        <w:tc>
          <w:tcPr>
            <w:tcW w:w="657" w:type="dxa"/>
            <w:shd w:val="clear" w:color="auto" w:fill="auto"/>
            <w:noWrap/>
            <w:hideMark/>
          </w:tcPr>
          <w:p w14:paraId="05601F5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w:t>
            </w:r>
          </w:p>
        </w:tc>
        <w:tc>
          <w:tcPr>
            <w:tcW w:w="657" w:type="dxa"/>
            <w:shd w:val="clear" w:color="auto" w:fill="auto"/>
          </w:tcPr>
          <w:p w14:paraId="539DE78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.034</w:t>
            </w:r>
            <w:r w:rsidRPr="000B490A">
              <w:rPr>
                <w:rFonts w:asciiTheme="majorBidi" w:hAnsiTheme="majorBidi" w:cstheme="majorBidi"/>
                <w:sz w:val="18"/>
                <w:szCs w:val="18"/>
                <w:vertAlign w:val="superscript"/>
              </w:rPr>
              <w:t>**</w:t>
            </w:r>
          </w:p>
        </w:tc>
        <w:tc>
          <w:tcPr>
            <w:tcW w:w="658" w:type="dxa"/>
          </w:tcPr>
          <w:p w14:paraId="6BC8DB7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.033</w:t>
            </w:r>
            <w:r w:rsidRPr="000B490A">
              <w:rPr>
                <w:rFonts w:asciiTheme="majorBidi" w:hAnsiTheme="majorBidi" w:cstheme="majorBidi"/>
                <w:sz w:val="18"/>
                <w:szCs w:val="18"/>
                <w:vertAlign w:val="superscript"/>
              </w:rPr>
              <w:t>**</w:t>
            </w:r>
          </w:p>
        </w:tc>
        <w:tc>
          <w:tcPr>
            <w:tcW w:w="658" w:type="dxa"/>
            <w:shd w:val="clear" w:color="auto" w:fill="auto"/>
            <w:noWrap/>
            <w:hideMark/>
          </w:tcPr>
          <w:p w14:paraId="139977B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.055</w:t>
            </w:r>
            <w:r w:rsidRPr="000B490A">
              <w:rPr>
                <w:rFonts w:asciiTheme="majorBidi" w:hAnsiTheme="majorBidi" w:cstheme="majorBidi"/>
                <w:sz w:val="18"/>
                <w:szCs w:val="18"/>
                <w:vertAlign w:val="superscript"/>
              </w:rPr>
              <w:t>**</w:t>
            </w:r>
          </w:p>
        </w:tc>
        <w:tc>
          <w:tcPr>
            <w:tcW w:w="658" w:type="dxa"/>
          </w:tcPr>
          <w:p w14:paraId="0192ACE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rPr>
            </w:pPr>
            <w:r w:rsidRPr="000B490A">
              <w:rPr>
                <w:rFonts w:asciiTheme="majorBidi" w:hAnsiTheme="majorBidi" w:cstheme="majorBidi"/>
                <w:sz w:val="18"/>
                <w:szCs w:val="18"/>
              </w:rPr>
              <w:t>-0.009</w:t>
            </w:r>
          </w:p>
        </w:tc>
      </w:tr>
      <w:tr w:rsidR="00EA313E" w:rsidRPr="00E22546" w14:paraId="2EB89EFD" w14:textId="77777777" w:rsidTr="00F42F0F">
        <w:tc>
          <w:tcPr>
            <w:tcW w:w="1968" w:type="dxa"/>
            <w:tcBorders>
              <w:bottom w:val="single" w:sz="4" w:space="0" w:color="auto"/>
            </w:tcBorders>
            <w:shd w:val="clear" w:color="auto" w:fill="auto"/>
            <w:noWrap/>
            <w:vAlign w:val="center"/>
            <w:hideMark/>
          </w:tcPr>
          <w:p w14:paraId="05985CA1" w14:textId="77777777" w:rsidR="00EA313E" w:rsidRPr="00E22546" w:rsidRDefault="00EA313E" w:rsidP="00F42F0F">
            <w:pPr>
              <w:widowControl/>
              <w:autoSpaceDE/>
              <w:autoSpaceDN/>
              <w:rPr>
                <w:rFonts w:asciiTheme="majorBidi" w:hAnsiTheme="majorBidi" w:cstheme="majorBidi"/>
                <w14:ligatures w14:val="none"/>
              </w:rPr>
            </w:pPr>
            <w:r>
              <w:rPr>
                <w:color w:val="000000"/>
              </w:rPr>
              <w:t>CAR[-1,+1]</w:t>
            </w:r>
          </w:p>
        </w:tc>
        <w:tc>
          <w:tcPr>
            <w:tcW w:w="657" w:type="dxa"/>
            <w:tcBorders>
              <w:bottom w:val="single" w:sz="4" w:space="0" w:color="auto"/>
            </w:tcBorders>
            <w:shd w:val="clear" w:color="auto" w:fill="auto"/>
            <w:noWrap/>
            <w:hideMark/>
          </w:tcPr>
          <w:p w14:paraId="412633D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.090</w:t>
            </w:r>
            <w:r w:rsidRPr="000B490A">
              <w:rPr>
                <w:rFonts w:asciiTheme="majorBidi" w:hAnsiTheme="majorBidi" w:cstheme="majorBidi"/>
                <w:sz w:val="18"/>
                <w:szCs w:val="18"/>
                <w:vertAlign w:val="superscript"/>
              </w:rPr>
              <w:t>**</w:t>
            </w:r>
          </w:p>
        </w:tc>
        <w:tc>
          <w:tcPr>
            <w:tcW w:w="657" w:type="dxa"/>
            <w:tcBorders>
              <w:bottom w:val="single" w:sz="4" w:space="0" w:color="auto"/>
            </w:tcBorders>
            <w:shd w:val="clear" w:color="auto" w:fill="auto"/>
            <w:noWrap/>
            <w:hideMark/>
          </w:tcPr>
          <w:p w14:paraId="719F0D5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-.077</w:t>
            </w:r>
            <w:r w:rsidRPr="000B490A">
              <w:rPr>
                <w:rFonts w:asciiTheme="majorBidi" w:hAnsiTheme="majorBidi" w:cstheme="majorBidi"/>
                <w:sz w:val="18"/>
                <w:szCs w:val="18"/>
                <w:vertAlign w:val="superscript"/>
              </w:rPr>
              <w:t>**</w:t>
            </w:r>
          </w:p>
        </w:tc>
        <w:tc>
          <w:tcPr>
            <w:tcW w:w="657" w:type="dxa"/>
            <w:tcBorders>
              <w:bottom w:val="single" w:sz="4" w:space="0" w:color="auto"/>
            </w:tcBorders>
            <w:shd w:val="clear" w:color="auto" w:fill="auto"/>
            <w:noWrap/>
            <w:hideMark/>
          </w:tcPr>
          <w:p w14:paraId="7DD01E8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.034</w:t>
            </w:r>
            <w:r w:rsidRPr="000B490A">
              <w:rPr>
                <w:rFonts w:asciiTheme="majorBidi" w:hAnsiTheme="majorBidi" w:cstheme="majorBidi"/>
                <w:sz w:val="18"/>
                <w:szCs w:val="18"/>
                <w:vertAlign w:val="superscript"/>
              </w:rPr>
              <w:t>**</w:t>
            </w:r>
          </w:p>
        </w:tc>
        <w:tc>
          <w:tcPr>
            <w:tcW w:w="658" w:type="dxa"/>
            <w:tcBorders>
              <w:bottom w:val="single" w:sz="4" w:space="0" w:color="auto"/>
            </w:tcBorders>
            <w:shd w:val="clear" w:color="auto" w:fill="auto"/>
            <w:noWrap/>
            <w:hideMark/>
          </w:tcPr>
          <w:p w14:paraId="342FB2A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.042</w:t>
            </w:r>
            <w:r w:rsidRPr="000B490A">
              <w:rPr>
                <w:rFonts w:asciiTheme="majorBidi" w:hAnsiTheme="majorBidi" w:cstheme="majorBidi"/>
                <w:sz w:val="18"/>
                <w:szCs w:val="18"/>
                <w:vertAlign w:val="superscript"/>
              </w:rPr>
              <w:t>**</w:t>
            </w:r>
          </w:p>
        </w:tc>
        <w:tc>
          <w:tcPr>
            <w:tcW w:w="657" w:type="dxa"/>
            <w:tcBorders>
              <w:bottom w:val="single" w:sz="4" w:space="0" w:color="auto"/>
            </w:tcBorders>
            <w:shd w:val="clear" w:color="auto" w:fill="auto"/>
            <w:noWrap/>
            <w:hideMark/>
          </w:tcPr>
          <w:p w14:paraId="24E57E8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0.004</w:t>
            </w:r>
          </w:p>
        </w:tc>
        <w:tc>
          <w:tcPr>
            <w:tcW w:w="657" w:type="dxa"/>
            <w:tcBorders>
              <w:bottom w:val="single" w:sz="4" w:space="0" w:color="auto"/>
            </w:tcBorders>
            <w:shd w:val="clear" w:color="auto" w:fill="auto"/>
            <w:noWrap/>
            <w:hideMark/>
          </w:tcPr>
          <w:p w14:paraId="1333839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.093</w:t>
            </w:r>
            <w:r w:rsidRPr="000B490A">
              <w:rPr>
                <w:rFonts w:asciiTheme="majorBidi" w:hAnsiTheme="majorBidi" w:cstheme="majorBidi"/>
                <w:sz w:val="18"/>
                <w:szCs w:val="18"/>
                <w:vertAlign w:val="superscript"/>
              </w:rPr>
              <w:t>**</w:t>
            </w:r>
          </w:p>
        </w:tc>
        <w:tc>
          <w:tcPr>
            <w:tcW w:w="657" w:type="dxa"/>
            <w:tcBorders>
              <w:bottom w:val="single" w:sz="4" w:space="0" w:color="auto"/>
            </w:tcBorders>
            <w:shd w:val="clear" w:color="auto" w:fill="auto"/>
            <w:noWrap/>
            <w:hideMark/>
          </w:tcPr>
          <w:p w14:paraId="3A4C187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0.002</w:t>
            </w:r>
          </w:p>
        </w:tc>
        <w:tc>
          <w:tcPr>
            <w:tcW w:w="658" w:type="dxa"/>
            <w:tcBorders>
              <w:bottom w:val="single" w:sz="4" w:space="0" w:color="auto"/>
            </w:tcBorders>
            <w:shd w:val="clear" w:color="auto" w:fill="auto"/>
            <w:noWrap/>
            <w:hideMark/>
          </w:tcPr>
          <w:p w14:paraId="14525FB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.111</w:t>
            </w:r>
            <w:r w:rsidRPr="000B490A">
              <w:rPr>
                <w:rFonts w:asciiTheme="majorBidi" w:hAnsiTheme="majorBidi" w:cstheme="majorBidi"/>
                <w:sz w:val="18"/>
                <w:szCs w:val="18"/>
                <w:vertAlign w:val="superscript"/>
              </w:rPr>
              <w:t>**</w:t>
            </w:r>
          </w:p>
        </w:tc>
        <w:tc>
          <w:tcPr>
            <w:tcW w:w="657" w:type="dxa"/>
            <w:tcBorders>
              <w:bottom w:val="single" w:sz="4" w:space="0" w:color="auto"/>
            </w:tcBorders>
            <w:shd w:val="clear" w:color="auto" w:fill="auto"/>
            <w:noWrap/>
            <w:hideMark/>
          </w:tcPr>
          <w:p w14:paraId="372E15C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.107</w:t>
            </w:r>
            <w:r w:rsidRPr="000B490A">
              <w:rPr>
                <w:rFonts w:asciiTheme="majorBidi" w:hAnsiTheme="majorBidi" w:cstheme="majorBidi"/>
                <w:sz w:val="18"/>
                <w:szCs w:val="18"/>
                <w:vertAlign w:val="superscript"/>
              </w:rPr>
              <w:t>**</w:t>
            </w:r>
          </w:p>
        </w:tc>
        <w:tc>
          <w:tcPr>
            <w:tcW w:w="657" w:type="dxa"/>
            <w:tcBorders>
              <w:bottom w:val="single" w:sz="4" w:space="0" w:color="auto"/>
            </w:tcBorders>
            <w:shd w:val="clear" w:color="auto" w:fill="auto"/>
            <w:noWrap/>
            <w:hideMark/>
          </w:tcPr>
          <w:p w14:paraId="7E06D65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.094</w:t>
            </w:r>
            <w:r w:rsidRPr="000B490A">
              <w:rPr>
                <w:rFonts w:asciiTheme="majorBidi" w:hAnsiTheme="majorBidi" w:cstheme="majorBidi"/>
                <w:sz w:val="18"/>
                <w:szCs w:val="18"/>
                <w:vertAlign w:val="superscript"/>
              </w:rPr>
              <w:t>**</w:t>
            </w:r>
          </w:p>
        </w:tc>
        <w:tc>
          <w:tcPr>
            <w:tcW w:w="657" w:type="dxa"/>
            <w:tcBorders>
              <w:bottom w:val="single" w:sz="4" w:space="0" w:color="auto"/>
            </w:tcBorders>
            <w:shd w:val="clear" w:color="auto" w:fill="auto"/>
            <w:noWrap/>
            <w:hideMark/>
          </w:tcPr>
          <w:p w14:paraId="6759163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.107</w:t>
            </w:r>
            <w:r w:rsidRPr="000B490A">
              <w:rPr>
                <w:rFonts w:asciiTheme="majorBidi" w:hAnsiTheme="majorBidi" w:cstheme="majorBidi"/>
                <w:sz w:val="18"/>
                <w:szCs w:val="18"/>
                <w:vertAlign w:val="superscript"/>
              </w:rPr>
              <w:t>**</w:t>
            </w:r>
          </w:p>
        </w:tc>
        <w:tc>
          <w:tcPr>
            <w:tcW w:w="658" w:type="dxa"/>
            <w:tcBorders>
              <w:bottom w:val="single" w:sz="4" w:space="0" w:color="auto"/>
            </w:tcBorders>
            <w:shd w:val="clear" w:color="auto" w:fill="auto"/>
            <w:noWrap/>
            <w:hideMark/>
          </w:tcPr>
          <w:p w14:paraId="5FB6947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-.059</w:t>
            </w:r>
            <w:r w:rsidRPr="000B490A">
              <w:rPr>
                <w:rFonts w:asciiTheme="majorBidi" w:hAnsiTheme="majorBidi" w:cstheme="majorBidi"/>
                <w:sz w:val="18"/>
                <w:szCs w:val="18"/>
                <w:vertAlign w:val="superscript"/>
              </w:rPr>
              <w:t>**</w:t>
            </w:r>
          </w:p>
        </w:tc>
        <w:tc>
          <w:tcPr>
            <w:tcW w:w="657" w:type="dxa"/>
            <w:tcBorders>
              <w:bottom w:val="single" w:sz="4" w:space="0" w:color="auto"/>
            </w:tcBorders>
            <w:shd w:val="clear" w:color="auto" w:fill="auto"/>
            <w:noWrap/>
            <w:hideMark/>
          </w:tcPr>
          <w:p w14:paraId="7A69D06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.034</w:t>
            </w:r>
            <w:r w:rsidRPr="000B490A">
              <w:rPr>
                <w:rFonts w:asciiTheme="majorBidi" w:hAnsiTheme="majorBidi" w:cstheme="majorBidi"/>
                <w:sz w:val="18"/>
                <w:szCs w:val="18"/>
                <w:vertAlign w:val="superscript"/>
              </w:rPr>
              <w:t>**</w:t>
            </w:r>
          </w:p>
        </w:tc>
        <w:tc>
          <w:tcPr>
            <w:tcW w:w="657" w:type="dxa"/>
            <w:tcBorders>
              <w:bottom w:val="single" w:sz="4" w:space="0" w:color="auto"/>
            </w:tcBorders>
            <w:shd w:val="clear" w:color="auto" w:fill="auto"/>
            <w:noWrap/>
            <w:hideMark/>
          </w:tcPr>
          <w:p w14:paraId="486CC3F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w:t>
            </w:r>
          </w:p>
        </w:tc>
        <w:tc>
          <w:tcPr>
            <w:tcW w:w="658" w:type="dxa"/>
            <w:tcBorders>
              <w:bottom w:val="single" w:sz="4" w:space="0" w:color="auto"/>
            </w:tcBorders>
          </w:tcPr>
          <w:p w14:paraId="0FA72F7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0.008</w:t>
            </w:r>
          </w:p>
        </w:tc>
        <w:tc>
          <w:tcPr>
            <w:tcW w:w="658" w:type="dxa"/>
            <w:tcBorders>
              <w:bottom w:val="single" w:sz="4" w:space="0" w:color="auto"/>
            </w:tcBorders>
            <w:shd w:val="clear" w:color="auto" w:fill="auto"/>
            <w:noWrap/>
            <w:hideMark/>
          </w:tcPr>
          <w:p w14:paraId="1BD4429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0.017</w:t>
            </w:r>
          </w:p>
        </w:tc>
        <w:tc>
          <w:tcPr>
            <w:tcW w:w="658" w:type="dxa"/>
            <w:tcBorders>
              <w:bottom w:val="single" w:sz="4" w:space="0" w:color="auto"/>
            </w:tcBorders>
          </w:tcPr>
          <w:p w14:paraId="390C7A3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rPr>
            </w:pPr>
            <w:r w:rsidRPr="000B490A">
              <w:rPr>
                <w:rFonts w:asciiTheme="majorBidi" w:hAnsiTheme="majorBidi" w:cstheme="majorBidi"/>
                <w:sz w:val="18"/>
                <w:szCs w:val="18"/>
              </w:rPr>
              <w:t>0.006</w:t>
            </w:r>
          </w:p>
        </w:tc>
      </w:tr>
      <w:tr w:rsidR="00EA313E" w:rsidRPr="00E22546" w14:paraId="5EFC61FD" w14:textId="77777777" w:rsidTr="00F42F0F">
        <w:tc>
          <w:tcPr>
            <w:tcW w:w="1968" w:type="dxa"/>
            <w:tcBorders>
              <w:top w:val="single" w:sz="4" w:space="0" w:color="auto"/>
              <w:bottom w:val="single" w:sz="4" w:space="0" w:color="auto"/>
            </w:tcBorders>
            <w:shd w:val="clear" w:color="auto" w:fill="auto"/>
            <w:noWrap/>
            <w:vAlign w:val="center"/>
            <w:hideMark/>
          </w:tcPr>
          <w:p w14:paraId="7BB82D0B" w14:textId="77777777" w:rsidR="00EA313E" w:rsidRPr="00E22546" w:rsidRDefault="00EA313E" w:rsidP="00F42F0F">
            <w:pPr>
              <w:widowControl/>
              <w:autoSpaceDE/>
              <w:autoSpaceDN/>
              <w:rPr>
                <w:rFonts w:asciiTheme="majorBidi" w:hAnsiTheme="majorBidi" w:cstheme="majorBidi"/>
                <w14:ligatures w14:val="none"/>
              </w:rPr>
            </w:pPr>
            <w:r>
              <w:rPr>
                <w:color w:val="000000"/>
              </w:rPr>
              <w:t>Maturity</w:t>
            </w:r>
          </w:p>
        </w:tc>
        <w:tc>
          <w:tcPr>
            <w:tcW w:w="657" w:type="dxa"/>
            <w:tcBorders>
              <w:top w:val="single" w:sz="4" w:space="0" w:color="auto"/>
              <w:bottom w:val="single" w:sz="4" w:space="0" w:color="auto"/>
            </w:tcBorders>
            <w:shd w:val="clear" w:color="auto" w:fill="auto"/>
            <w:noWrap/>
            <w:hideMark/>
          </w:tcPr>
          <w:p w14:paraId="63A4F6B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.137</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hideMark/>
          </w:tcPr>
          <w:p w14:paraId="4A9A47F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-.055</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hideMark/>
          </w:tcPr>
          <w:p w14:paraId="1BC7950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.028</w:t>
            </w:r>
            <w:r w:rsidRPr="000B490A">
              <w:rPr>
                <w:rFonts w:asciiTheme="majorBidi" w:hAnsiTheme="majorBidi" w:cstheme="majorBidi"/>
                <w:sz w:val="18"/>
                <w:szCs w:val="18"/>
                <w:vertAlign w:val="superscript"/>
              </w:rPr>
              <w:t>**</w:t>
            </w:r>
          </w:p>
        </w:tc>
        <w:tc>
          <w:tcPr>
            <w:tcW w:w="658" w:type="dxa"/>
            <w:tcBorders>
              <w:top w:val="single" w:sz="4" w:space="0" w:color="auto"/>
              <w:bottom w:val="single" w:sz="4" w:space="0" w:color="auto"/>
            </w:tcBorders>
            <w:shd w:val="clear" w:color="auto" w:fill="auto"/>
            <w:noWrap/>
            <w:hideMark/>
          </w:tcPr>
          <w:p w14:paraId="52AC7C7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.103</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hideMark/>
          </w:tcPr>
          <w:p w14:paraId="3E2FBC0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0.010</w:t>
            </w:r>
          </w:p>
        </w:tc>
        <w:tc>
          <w:tcPr>
            <w:tcW w:w="657" w:type="dxa"/>
            <w:tcBorders>
              <w:top w:val="single" w:sz="4" w:space="0" w:color="auto"/>
              <w:bottom w:val="single" w:sz="4" w:space="0" w:color="auto"/>
            </w:tcBorders>
            <w:shd w:val="clear" w:color="auto" w:fill="auto"/>
            <w:noWrap/>
            <w:hideMark/>
          </w:tcPr>
          <w:p w14:paraId="484DD18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.053</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hideMark/>
          </w:tcPr>
          <w:p w14:paraId="6C6C189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-0.014</w:t>
            </w:r>
          </w:p>
        </w:tc>
        <w:tc>
          <w:tcPr>
            <w:tcW w:w="658" w:type="dxa"/>
            <w:tcBorders>
              <w:top w:val="single" w:sz="4" w:space="0" w:color="auto"/>
              <w:bottom w:val="single" w:sz="4" w:space="0" w:color="auto"/>
            </w:tcBorders>
            <w:shd w:val="clear" w:color="auto" w:fill="auto"/>
            <w:noWrap/>
            <w:hideMark/>
          </w:tcPr>
          <w:p w14:paraId="09F8059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.075</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hideMark/>
          </w:tcPr>
          <w:p w14:paraId="0AFB364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.091</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hideMark/>
          </w:tcPr>
          <w:p w14:paraId="625DA25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.076</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hideMark/>
          </w:tcPr>
          <w:p w14:paraId="3D2918E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.038</w:t>
            </w:r>
            <w:r w:rsidRPr="000B490A">
              <w:rPr>
                <w:rFonts w:asciiTheme="majorBidi" w:hAnsiTheme="majorBidi" w:cstheme="majorBidi"/>
                <w:sz w:val="18"/>
                <w:szCs w:val="18"/>
                <w:vertAlign w:val="superscript"/>
              </w:rPr>
              <w:t>**</w:t>
            </w:r>
          </w:p>
        </w:tc>
        <w:tc>
          <w:tcPr>
            <w:tcW w:w="658" w:type="dxa"/>
            <w:tcBorders>
              <w:top w:val="single" w:sz="4" w:space="0" w:color="auto"/>
              <w:bottom w:val="single" w:sz="4" w:space="0" w:color="auto"/>
            </w:tcBorders>
            <w:shd w:val="clear" w:color="auto" w:fill="auto"/>
            <w:noWrap/>
            <w:hideMark/>
          </w:tcPr>
          <w:p w14:paraId="6CAD2C1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.102</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hideMark/>
          </w:tcPr>
          <w:p w14:paraId="4A811D7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.033</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hideMark/>
          </w:tcPr>
          <w:p w14:paraId="565501A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0.008</w:t>
            </w:r>
          </w:p>
        </w:tc>
        <w:tc>
          <w:tcPr>
            <w:tcW w:w="658" w:type="dxa"/>
            <w:tcBorders>
              <w:top w:val="single" w:sz="4" w:space="0" w:color="auto"/>
              <w:bottom w:val="single" w:sz="4" w:space="0" w:color="auto"/>
            </w:tcBorders>
          </w:tcPr>
          <w:p w14:paraId="162C405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w:t>
            </w:r>
          </w:p>
        </w:tc>
        <w:tc>
          <w:tcPr>
            <w:tcW w:w="658" w:type="dxa"/>
            <w:tcBorders>
              <w:top w:val="single" w:sz="4" w:space="0" w:color="auto"/>
              <w:bottom w:val="single" w:sz="4" w:space="0" w:color="auto"/>
            </w:tcBorders>
            <w:shd w:val="clear" w:color="auto" w:fill="auto"/>
            <w:noWrap/>
            <w:hideMark/>
          </w:tcPr>
          <w:p w14:paraId="3AAC8AE4"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.208</w:t>
            </w:r>
            <w:r w:rsidRPr="000B490A">
              <w:rPr>
                <w:rFonts w:asciiTheme="majorBidi" w:hAnsiTheme="majorBidi" w:cstheme="majorBidi"/>
                <w:sz w:val="18"/>
                <w:szCs w:val="18"/>
                <w:vertAlign w:val="superscript"/>
              </w:rPr>
              <w:t>**</w:t>
            </w:r>
          </w:p>
        </w:tc>
        <w:tc>
          <w:tcPr>
            <w:tcW w:w="658" w:type="dxa"/>
            <w:tcBorders>
              <w:top w:val="single" w:sz="4" w:space="0" w:color="auto"/>
              <w:bottom w:val="single" w:sz="4" w:space="0" w:color="auto"/>
            </w:tcBorders>
          </w:tcPr>
          <w:p w14:paraId="0859256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rPr>
            </w:pPr>
            <w:r w:rsidRPr="000B490A">
              <w:rPr>
                <w:rFonts w:asciiTheme="majorBidi" w:hAnsiTheme="majorBidi" w:cstheme="majorBidi"/>
                <w:sz w:val="18"/>
                <w:szCs w:val="18"/>
              </w:rPr>
              <w:t>-0.009</w:t>
            </w:r>
          </w:p>
        </w:tc>
      </w:tr>
      <w:tr w:rsidR="00EA313E" w:rsidRPr="00E22546" w14:paraId="56E72176" w14:textId="77777777" w:rsidTr="00F42F0F">
        <w:tc>
          <w:tcPr>
            <w:tcW w:w="1968" w:type="dxa"/>
            <w:tcBorders>
              <w:top w:val="single" w:sz="4" w:space="0" w:color="auto"/>
              <w:bottom w:val="single" w:sz="4" w:space="0" w:color="auto"/>
            </w:tcBorders>
            <w:shd w:val="clear" w:color="auto" w:fill="auto"/>
            <w:noWrap/>
            <w:vAlign w:val="bottom"/>
          </w:tcPr>
          <w:p w14:paraId="13481FFF"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Duration</w:t>
            </w:r>
          </w:p>
        </w:tc>
        <w:tc>
          <w:tcPr>
            <w:tcW w:w="657" w:type="dxa"/>
            <w:tcBorders>
              <w:top w:val="single" w:sz="4" w:space="0" w:color="auto"/>
              <w:bottom w:val="single" w:sz="4" w:space="0" w:color="auto"/>
            </w:tcBorders>
            <w:shd w:val="clear" w:color="auto" w:fill="auto"/>
            <w:noWrap/>
          </w:tcPr>
          <w:p w14:paraId="5100417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.179</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11DD600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-.064</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74B9E3E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-.026</w:t>
            </w:r>
            <w:r w:rsidRPr="000B490A">
              <w:rPr>
                <w:rFonts w:asciiTheme="majorBidi" w:hAnsiTheme="majorBidi" w:cstheme="majorBidi"/>
                <w:sz w:val="18"/>
                <w:szCs w:val="18"/>
                <w:vertAlign w:val="superscript"/>
              </w:rPr>
              <w:t>*</w:t>
            </w:r>
          </w:p>
        </w:tc>
        <w:tc>
          <w:tcPr>
            <w:tcW w:w="658" w:type="dxa"/>
            <w:tcBorders>
              <w:top w:val="single" w:sz="4" w:space="0" w:color="auto"/>
              <w:bottom w:val="single" w:sz="4" w:space="0" w:color="auto"/>
            </w:tcBorders>
            <w:shd w:val="clear" w:color="auto" w:fill="auto"/>
            <w:noWrap/>
          </w:tcPr>
          <w:p w14:paraId="1A68FC5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.111</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48A4A2B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.037</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6F041B6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.095</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0B9C2A18"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-0.008</w:t>
            </w:r>
          </w:p>
        </w:tc>
        <w:tc>
          <w:tcPr>
            <w:tcW w:w="658" w:type="dxa"/>
            <w:tcBorders>
              <w:top w:val="single" w:sz="4" w:space="0" w:color="auto"/>
              <w:bottom w:val="single" w:sz="4" w:space="0" w:color="auto"/>
            </w:tcBorders>
            <w:shd w:val="clear" w:color="auto" w:fill="auto"/>
            <w:noWrap/>
          </w:tcPr>
          <w:p w14:paraId="01078EF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.126</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1A03A48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.139</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18CC3F0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.127</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6E9B401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.077</w:t>
            </w:r>
            <w:r w:rsidRPr="000B490A">
              <w:rPr>
                <w:rFonts w:asciiTheme="majorBidi" w:hAnsiTheme="majorBidi" w:cstheme="majorBidi"/>
                <w:sz w:val="18"/>
                <w:szCs w:val="18"/>
                <w:vertAlign w:val="superscript"/>
              </w:rPr>
              <w:t>**</w:t>
            </w:r>
          </w:p>
        </w:tc>
        <w:tc>
          <w:tcPr>
            <w:tcW w:w="658" w:type="dxa"/>
            <w:tcBorders>
              <w:top w:val="single" w:sz="4" w:space="0" w:color="auto"/>
              <w:bottom w:val="single" w:sz="4" w:space="0" w:color="auto"/>
            </w:tcBorders>
            <w:shd w:val="clear" w:color="auto" w:fill="auto"/>
            <w:noWrap/>
          </w:tcPr>
          <w:p w14:paraId="54F7295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-.133</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28FA6CB0"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.055</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2A28739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0.017</w:t>
            </w:r>
          </w:p>
        </w:tc>
        <w:tc>
          <w:tcPr>
            <w:tcW w:w="658" w:type="dxa"/>
            <w:tcBorders>
              <w:top w:val="single" w:sz="4" w:space="0" w:color="auto"/>
              <w:bottom w:val="single" w:sz="4" w:space="0" w:color="auto"/>
            </w:tcBorders>
          </w:tcPr>
          <w:p w14:paraId="6CE7C8B6"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.208</w:t>
            </w:r>
            <w:r w:rsidRPr="000B490A">
              <w:rPr>
                <w:rFonts w:asciiTheme="majorBidi" w:hAnsiTheme="majorBidi" w:cstheme="majorBidi"/>
                <w:sz w:val="18"/>
                <w:szCs w:val="18"/>
                <w:vertAlign w:val="superscript"/>
              </w:rPr>
              <w:t>**</w:t>
            </w:r>
          </w:p>
        </w:tc>
        <w:tc>
          <w:tcPr>
            <w:tcW w:w="658" w:type="dxa"/>
            <w:tcBorders>
              <w:top w:val="single" w:sz="4" w:space="0" w:color="auto"/>
              <w:bottom w:val="single" w:sz="4" w:space="0" w:color="auto"/>
            </w:tcBorders>
            <w:shd w:val="clear" w:color="auto" w:fill="auto"/>
            <w:noWrap/>
          </w:tcPr>
          <w:p w14:paraId="130BF24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1</w:t>
            </w:r>
          </w:p>
        </w:tc>
        <w:tc>
          <w:tcPr>
            <w:tcW w:w="658" w:type="dxa"/>
            <w:tcBorders>
              <w:top w:val="single" w:sz="4" w:space="0" w:color="auto"/>
              <w:bottom w:val="single" w:sz="4" w:space="0" w:color="auto"/>
            </w:tcBorders>
          </w:tcPr>
          <w:p w14:paraId="4C5AEA9B"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rPr>
            </w:pPr>
            <w:r w:rsidRPr="000B490A">
              <w:rPr>
                <w:rFonts w:asciiTheme="majorBidi" w:hAnsiTheme="majorBidi" w:cstheme="majorBidi"/>
                <w:sz w:val="18"/>
                <w:szCs w:val="18"/>
              </w:rPr>
              <w:t>-0.002</w:t>
            </w:r>
          </w:p>
        </w:tc>
      </w:tr>
      <w:tr w:rsidR="00EA313E" w:rsidRPr="00E22546" w14:paraId="2CF959CE" w14:textId="77777777" w:rsidTr="00F42F0F">
        <w:tc>
          <w:tcPr>
            <w:tcW w:w="1968" w:type="dxa"/>
            <w:tcBorders>
              <w:top w:val="single" w:sz="4" w:space="0" w:color="auto"/>
              <w:bottom w:val="single" w:sz="4" w:space="0" w:color="auto"/>
            </w:tcBorders>
            <w:shd w:val="clear" w:color="auto" w:fill="auto"/>
            <w:noWrap/>
            <w:vAlign w:val="center"/>
          </w:tcPr>
          <w:p w14:paraId="7BFB8DF2" w14:textId="77777777" w:rsidR="00EA313E" w:rsidRPr="00E22546" w:rsidRDefault="00EA313E" w:rsidP="00F42F0F">
            <w:pPr>
              <w:widowControl/>
              <w:autoSpaceDE/>
              <w:autoSpaceDN/>
              <w:rPr>
                <w:rFonts w:asciiTheme="majorBidi" w:hAnsiTheme="majorBidi" w:cstheme="majorBidi"/>
                <w14:ligatures w14:val="none"/>
              </w:rPr>
            </w:pPr>
            <w:r>
              <w:rPr>
                <w:color w:val="000000"/>
              </w:rPr>
              <w:t>Issue Relative Size</w:t>
            </w:r>
          </w:p>
        </w:tc>
        <w:tc>
          <w:tcPr>
            <w:tcW w:w="657" w:type="dxa"/>
            <w:tcBorders>
              <w:top w:val="single" w:sz="4" w:space="0" w:color="auto"/>
              <w:bottom w:val="single" w:sz="4" w:space="0" w:color="auto"/>
            </w:tcBorders>
            <w:shd w:val="clear" w:color="auto" w:fill="auto"/>
            <w:noWrap/>
          </w:tcPr>
          <w:p w14:paraId="7C81743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-.056</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0D53A8F7"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-.030</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5D85B683"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-0.001</w:t>
            </w:r>
          </w:p>
        </w:tc>
        <w:tc>
          <w:tcPr>
            <w:tcW w:w="658" w:type="dxa"/>
            <w:tcBorders>
              <w:top w:val="single" w:sz="4" w:space="0" w:color="auto"/>
              <w:bottom w:val="single" w:sz="4" w:space="0" w:color="auto"/>
            </w:tcBorders>
            <w:shd w:val="clear" w:color="auto" w:fill="auto"/>
            <w:noWrap/>
          </w:tcPr>
          <w:p w14:paraId="6DB7B4ED"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-.053</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3BA4D32C"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.761</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3D46083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-.025</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42B5050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-0.008</w:t>
            </w:r>
          </w:p>
        </w:tc>
        <w:tc>
          <w:tcPr>
            <w:tcW w:w="658" w:type="dxa"/>
            <w:tcBorders>
              <w:top w:val="single" w:sz="4" w:space="0" w:color="auto"/>
              <w:bottom w:val="single" w:sz="4" w:space="0" w:color="auto"/>
            </w:tcBorders>
            <w:shd w:val="clear" w:color="auto" w:fill="auto"/>
            <w:noWrap/>
          </w:tcPr>
          <w:p w14:paraId="358EFDD1"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-.031</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49AC02B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-.030</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66F0B40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-.031</w:t>
            </w:r>
            <w:r w:rsidRPr="000B490A">
              <w:rPr>
                <w:rFonts w:asciiTheme="majorBidi" w:hAnsiTheme="majorBidi" w:cstheme="majorBidi"/>
                <w:sz w:val="18"/>
                <w:szCs w:val="18"/>
                <w:vertAlign w:val="superscript"/>
              </w:rPr>
              <w:t>**</w:t>
            </w:r>
          </w:p>
        </w:tc>
        <w:tc>
          <w:tcPr>
            <w:tcW w:w="657" w:type="dxa"/>
            <w:tcBorders>
              <w:top w:val="single" w:sz="4" w:space="0" w:color="auto"/>
              <w:bottom w:val="single" w:sz="4" w:space="0" w:color="auto"/>
            </w:tcBorders>
            <w:shd w:val="clear" w:color="auto" w:fill="auto"/>
            <w:noWrap/>
          </w:tcPr>
          <w:p w14:paraId="3B37DF1E"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14:ligatures w14:val="none"/>
              </w:rPr>
            </w:pPr>
            <w:r w:rsidRPr="000B490A">
              <w:rPr>
                <w:rFonts w:asciiTheme="majorBidi" w:hAnsiTheme="majorBidi" w:cstheme="majorBidi"/>
                <w:sz w:val="18"/>
                <w:szCs w:val="18"/>
              </w:rPr>
              <w:t>-.027</w:t>
            </w:r>
            <w:r w:rsidRPr="000B490A">
              <w:rPr>
                <w:rFonts w:asciiTheme="majorBidi" w:hAnsiTheme="majorBidi" w:cstheme="majorBidi"/>
                <w:sz w:val="18"/>
                <w:szCs w:val="18"/>
                <w:vertAlign w:val="superscript"/>
              </w:rPr>
              <w:t>*</w:t>
            </w:r>
          </w:p>
        </w:tc>
        <w:tc>
          <w:tcPr>
            <w:tcW w:w="658" w:type="dxa"/>
            <w:tcBorders>
              <w:top w:val="single" w:sz="4" w:space="0" w:color="auto"/>
              <w:bottom w:val="single" w:sz="4" w:space="0" w:color="auto"/>
            </w:tcBorders>
            <w:shd w:val="clear" w:color="auto" w:fill="auto"/>
            <w:noWrap/>
          </w:tcPr>
          <w:p w14:paraId="6977428F"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0.016</w:t>
            </w:r>
          </w:p>
        </w:tc>
        <w:tc>
          <w:tcPr>
            <w:tcW w:w="657" w:type="dxa"/>
            <w:tcBorders>
              <w:top w:val="single" w:sz="4" w:space="0" w:color="auto"/>
              <w:bottom w:val="single" w:sz="4" w:space="0" w:color="auto"/>
            </w:tcBorders>
            <w:shd w:val="clear" w:color="auto" w:fill="auto"/>
            <w:noWrap/>
          </w:tcPr>
          <w:p w14:paraId="1F415ECA"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-0.009</w:t>
            </w:r>
          </w:p>
        </w:tc>
        <w:tc>
          <w:tcPr>
            <w:tcW w:w="657" w:type="dxa"/>
            <w:tcBorders>
              <w:top w:val="single" w:sz="4" w:space="0" w:color="auto"/>
              <w:bottom w:val="single" w:sz="4" w:space="0" w:color="auto"/>
            </w:tcBorders>
            <w:shd w:val="clear" w:color="auto" w:fill="auto"/>
            <w:noWrap/>
          </w:tcPr>
          <w:p w14:paraId="29DE2202"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0.006</w:t>
            </w:r>
          </w:p>
        </w:tc>
        <w:tc>
          <w:tcPr>
            <w:tcW w:w="658" w:type="dxa"/>
            <w:tcBorders>
              <w:top w:val="single" w:sz="4" w:space="0" w:color="auto"/>
              <w:bottom w:val="single" w:sz="4" w:space="0" w:color="auto"/>
            </w:tcBorders>
          </w:tcPr>
          <w:p w14:paraId="49CB6A2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-0.009</w:t>
            </w:r>
          </w:p>
        </w:tc>
        <w:tc>
          <w:tcPr>
            <w:tcW w:w="658" w:type="dxa"/>
            <w:tcBorders>
              <w:top w:val="single" w:sz="4" w:space="0" w:color="auto"/>
              <w:bottom w:val="single" w:sz="4" w:space="0" w:color="auto"/>
            </w:tcBorders>
            <w:shd w:val="clear" w:color="auto" w:fill="auto"/>
            <w:noWrap/>
          </w:tcPr>
          <w:p w14:paraId="1BB49305"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14:ligatures w14:val="none"/>
              </w:rPr>
            </w:pPr>
            <w:r w:rsidRPr="000B490A">
              <w:rPr>
                <w:rFonts w:asciiTheme="majorBidi" w:hAnsiTheme="majorBidi" w:cstheme="majorBidi"/>
                <w:sz w:val="18"/>
                <w:szCs w:val="18"/>
              </w:rPr>
              <w:t>-0.002</w:t>
            </w:r>
          </w:p>
        </w:tc>
        <w:tc>
          <w:tcPr>
            <w:tcW w:w="658" w:type="dxa"/>
            <w:tcBorders>
              <w:top w:val="single" w:sz="4" w:space="0" w:color="auto"/>
              <w:bottom w:val="single" w:sz="4" w:space="0" w:color="auto"/>
            </w:tcBorders>
          </w:tcPr>
          <w:p w14:paraId="7978DE69" w14:textId="77777777" w:rsidR="00EA313E" w:rsidRPr="000B490A" w:rsidRDefault="00EA313E" w:rsidP="00F42F0F">
            <w:pPr>
              <w:widowControl/>
              <w:tabs>
                <w:tab w:val="decimal" w:pos="0"/>
              </w:tabs>
              <w:autoSpaceDE/>
              <w:autoSpaceDN/>
              <w:ind w:left="-102" w:right="-118"/>
              <w:jc w:val="center"/>
              <w:rPr>
                <w:rFonts w:asciiTheme="majorBidi" w:hAnsiTheme="majorBidi" w:cstheme="majorBidi"/>
                <w:sz w:val="18"/>
                <w:szCs w:val="18"/>
                <w:highlight w:val="yellow"/>
              </w:rPr>
            </w:pPr>
            <w:r w:rsidRPr="000B490A">
              <w:rPr>
                <w:rFonts w:asciiTheme="majorBidi" w:hAnsiTheme="majorBidi" w:cstheme="majorBidi"/>
                <w:sz w:val="18"/>
                <w:szCs w:val="18"/>
              </w:rPr>
              <w:t>1</w:t>
            </w:r>
          </w:p>
        </w:tc>
      </w:tr>
    </w:tbl>
    <w:p w14:paraId="74F710D2" w14:textId="77777777" w:rsidR="00EA313E" w:rsidRPr="0071098D" w:rsidRDefault="00EA313E" w:rsidP="00EA313E">
      <w:pPr>
        <w:jc w:val="both"/>
        <w:rPr>
          <w:rFonts w:asciiTheme="majorBidi" w:hAnsiTheme="majorBidi" w:cstheme="majorBidi"/>
        </w:rPr>
      </w:pPr>
      <w:r w:rsidRPr="0071098D">
        <w:rPr>
          <w:rFonts w:asciiTheme="majorBidi" w:hAnsiTheme="majorBidi" w:cstheme="majorBidi"/>
        </w:rPr>
        <w:t>*, **  indicate significance at 5%, and 1% level, respectively</w:t>
      </w:r>
    </w:p>
    <w:p w14:paraId="454D3216" w14:textId="77777777" w:rsidR="00EA313E" w:rsidRPr="0071098D" w:rsidRDefault="00EA313E" w:rsidP="00EA313E">
      <w:pPr>
        <w:widowControl/>
        <w:autoSpaceDE/>
        <w:autoSpaceDN/>
        <w:jc w:val="both"/>
        <w:rPr>
          <w:rFonts w:asciiTheme="majorBidi" w:hAnsiTheme="majorBidi" w:cstheme="majorBidi"/>
        </w:rPr>
      </w:pPr>
      <w:r w:rsidRPr="0071098D">
        <w:rPr>
          <w:rFonts w:asciiTheme="majorBidi" w:hAnsiTheme="majorBidi" w:cstheme="majorBidi"/>
          <w14:ligatures w14:val="none"/>
        </w:rPr>
        <w:t xml:space="preserve">*Each ESG measure has a polarity indicating whether a higher value is positive or negative. </w:t>
      </w:r>
      <w:r w:rsidRPr="0071098D">
        <w:rPr>
          <w:rFonts w:asciiTheme="majorBidi" w:hAnsiTheme="majorBidi" w:cstheme="majorBidi"/>
        </w:rPr>
        <w:t>Companies with no controversies get a score of 100.</w:t>
      </w:r>
    </w:p>
    <w:p w14:paraId="3D87621D" w14:textId="77777777" w:rsidR="00EA313E" w:rsidRPr="0071098D" w:rsidRDefault="00EA313E" w:rsidP="00EA313E">
      <w:pPr>
        <w:adjustRightInd w:val="0"/>
        <w:spacing w:line="480" w:lineRule="auto"/>
        <w:jc w:val="both"/>
        <w:rPr>
          <w:rFonts w:asciiTheme="majorBidi" w:hAnsiTheme="majorBidi" w:cstheme="majorBidi"/>
          <w:rtl/>
        </w:rPr>
      </w:pPr>
    </w:p>
    <w:p w14:paraId="0DCBD080" w14:textId="77777777" w:rsidR="00EA313E" w:rsidRDefault="00EA313E" w:rsidP="00EA313E">
      <w:pPr>
        <w:adjustRightInd w:val="0"/>
        <w:spacing w:line="480" w:lineRule="auto"/>
        <w:jc w:val="both"/>
        <w:rPr>
          <w:rFonts w:asciiTheme="majorBidi" w:hAnsiTheme="majorBidi" w:cstheme="majorBidi"/>
        </w:rPr>
      </w:pPr>
    </w:p>
    <w:p w14:paraId="5F0A696F" w14:textId="77777777" w:rsidR="00EA313E" w:rsidRDefault="00EA313E" w:rsidP="00EA313E">
      <w:pPr>
        <w:adjustRightInd w:val="0"/>
        <w:spacing w:line="480" w:lineRule="auto"/>
        <w:jc w:val="both"/>
        <w:rPr>
          <w:rFonts w:asciiTheme="majorBidi" w:hAnsiTheme="majorBidi" w:cstheme="majorBidi"/>
        </w:rPr>
      </w:pPr>
    </w:p>
    <w:p w14:paraId="2D7BA43D" w14:textId="77777777" w:rsidR="00EA313E" w:rsidRPr="0071098D" w:rsidRDefault="00EA313E" w:rsidP="00EA313E">
      <w:pPr>
        <w:widowControl/>
        <w:autoSpaceDE/>
        <w:autoSpaceDN/>
        <w:rPr>
          <w:rFonts w:asciiTheme="majorBidi" w:hAnsiTheme="majorBidi" w:cstheme="majorBidi"/>
          <w:b/>
          <w:bCs/>
          <w14:ligatures w14:val="none"/>
        </w:rPr>
      </w:pPr>
      <w:r>
        <w:rPr>
          <w:rFonts w:asciiTheme="majorBidi" w:hAnsiTheme="majorBidi" w:cstheme="majorBidi"/>
          <w:b/>
          <w:bCs/>
          <w14:ligatures w14:val="none"/>
        </w:rPr>
        <w:lastRenderedPageBreak/>
        <w:t>Sub Sample</w:t>
      </w:r>
    </w:p>
    <w:tbl>
      <w:tblPr>
        <w:tblW w:w="13143" w:type="dxa"/>
        <w:tblBorders>
          <w:insideH w:val="single" w:sz="4" w:space="0" w:color="auto"/>
        </w:tblBorders>
        <w:tblLayout w:type="fixed"/>
        <w:tblLook w:val="04A0" w:firstRow="1" w:lastRow="0" w:firstColumn="1" w:lastColumn="0" w:noHBand="0" w:noVBand="1"/>
      </w:tblPr>
      <w:tblGrid>
        <w:gridCol w:w="1968"/>
        <w:gridCol w:w="657"/>
        <w:gridCol w:w="657"/>
        <w:gridCol w:w="657"/>
        <w:gridCol w:w="658"/>
        <w:gridCol w:w="657"/>
        <w:gridCol w:w="657"/>
        <w:gridCol w:w="657"/>
        <w:gridCol w:w="658"/>
        <w:gridCol w:w="657"/>
        <w:gridCol w:w="657"/>
        <w:gridCol w:w="657"/>
        <w:gridCol w:w="658"/>
        <w:gridCol w:w="657"/>
        <w:gridCol w:w="657"/>
        <w:gridCol w:w="658"/>
        <w:gridCol w:w="658"/>
        <w:gridCol w:w="658"/>
      </w:tblGrid>
      <w:tr w:rsidR="00EA313E" w:rsidRPr="00E22546" w14:paraId="4CC777DB" w14:textId="77777777" w:rsidTr="00F42F0F">
        <w:trPr>
          <w:cantSplit/>
          <w:trHeight w:val="1797"/>
        </w:trPr>
        <w:tc>
          <w:tcPr>
            <w:tcW w:w="1968" w:type="dxa"/>
            <w:tcBorders>
              <w:top w:val="double" w:sz="4" w:space="0" w:color="auto"/>
              <w:bottom w:val="double" w:sz="4" w:space="0" w:color="auto"/>
            </w:tcBorders>
            <w:shd w:val="clear" w:color="auto" w:fill="auto"/>
            <w:noWrap/>
            <w:vAlign w:val="bottom"/>
            <w:hideMark/>
          </w:tcPr>
          <w:p w14:paraId="7B5874A0" w14:textId="77777777" w:rsidR="00EA313E" w:rsidRPr="00E22546" w:rsidRDefault="00EA313E" w:rsidP="00F42F0F">
            <w:pPr>
              <w:widowControl/>
              <w:autoSpaceDE/>
              <w:autoSpaceDN/>
              <w:rPr>
                <w:rFonts w:asciiTheme="majorBidi" w:hAnsiTheme="majorBidi" w:cstheme="majorBidi"/>
                <w14:ligatures w14:val="none"/>
              </w:rPr>
            </w:pPr>
            <w:r w:rsidRPr="00E22546">
              <w:rPr>
                <w:rFonts w:asciiTheme="majorBidi" w:hAnsiTheme="majorBidi" w:cstheme="majorBidi"/>
                <w14:ligatures w14:val="none"/>
              </w:rPr>
              <w:t>Variables</w:t>
            </w:r>
          </w:p>
        </w:tc>
        <w:tc>
          <w:tcPr>
            <w:tcW w:w="657" w:type="dxa"/>
            <w:tcBorders>
              <w:top w:val="double" w:sz="4" w:space="0" w:color="auto"/>
              <w:bottom w:val="double" w:sz="4" w:space="0" w:color="auto"/>
            </w:tcBorders>
            <w:shd w:val="clear" w:color="auto" w:fill="auto"/>
            <w:noWrap/>
            <w:textDirection w:val="btLr"/>
            <w:vAlign w:val="center"/>
            <w:hideMark/>
          </w:tcPr>
          <w:p w14:paraId="0B7F0E5F"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Issuer Size</w:t>
            </w:r>
          </w:p>
        </w:tc>
        <w:tc>
          <w:tcPr>
            <w:tcW w:w="657" w:type="dxa"/>
            <w:tcBorders>
              <w:top w:val="double" w:sz="4" w:space="0" w:color="auto"/>
              <w:bottom w:val="double" w:sz="4" w:space="0" w:color="auto"/>
            </w:tcBorders>
            <w:shd w:val="clear" w:color="auto" w:fill="auto"/>
            <w:noWrap/>
            <w:textDirection w:val="btLr"/>
            <w:vAlign w:val="center"/>
            <w:hideMark/>
          </w:tcPr>
          <w:p w14:paraId="245709E3"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Leverage</w:t>
            </w:r>
          </w:p>
        </w:tc>
        <w:tc>
          <w:tcPr>
            <w:tcW w:w="657" w:type="dxa"/>
            <w:tcBorders>
              <w:top w:val="double" w:sz="4" w:space="0" w:color="auto"/>
              <w:bottom w:val="double" w:sz="4" w:space="0" w:color="auto"/>
            </w:tcBorders>
            <w:shd w:val="clear" w:color="auto" w:fill="auto"/>
            <w:noWrap/>
            <w:textDirection w:val="btLr"/>
            <w:vAlign w:val="center"/>
            <w:hideMark/>
          </w:tcPr>
          <w:p w14:paraId="3A2305DC"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Big4</w:t>
            </w:r>
          </w:p>
        </w:tc>
        <w:tc>
          <w:tcPr>
            <w:tcW w:w="658" w:type="dxa"/>
            <w:tcBorders>
              <w:top w:val="double" w:sz="4" w:space="0" w:color="auto"/>
              <w:bottom w:val="double" w:sz="4" w:space="0" w:color="auto"/>
            </w:tcBorders>
            <w:shd w:val="clear" w:color="auto" w:fill="auto"/>
            <w:noWrap/>
            <w:textDirection w:val="btLr"/>
            <w:vAlign w:val="center"/>
            <w:hideMark/>
          </w:tcPr>
          <w:p w14:paraId="6CA48BD5"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Return on Assets</w:t>
            </w:r>
          </w:p>
        </w:tc>
        <w:tc>
          <w:tcPr>
            <w:tcW w:w="657" w:type="dxa"/>
            <w:tcBorders>
              <w:top w:val="double" w:sz="4" w:space="0" w:color="auto"/>
              <w:bottom w:val="double" w:sz="4" w:space="0" w:color="auto"/>
            </w:tcBorders>
            <w:shd w:val="clear" w:color="auto" w:fill="auto"/>
            <w:noWrap/>
            <w:textDirection w:val="btLr"/>
            <w:vAlign w:val="center"/>
            <w:hideMark/>
          </w:tcPr>
          <w:p w14:paraId="7F954C15"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Z-score</w:t>
            </w:r>
          </w:p>
        </w:tc>
        <w:tc>
          <w:tcPr>
            <w:tcW w:w="657" w:type="dxa"/>
            <w:tcBorders>
              <w:top w:val="double" w:sz="4" w:space="0" w:color="auto"/>
              <w:bottom w:val="double" w:sz="4" w:space="0" w:color="auto"/>
            </w:tcBorders>
            <w:shd w:val="clear" w:color="auto" w:fill="auto"/>
            <w:noWrap/>
            <w:textDirection w:val="btLr"/>
            <w:vAlign w:val="center"/>
            <w:hideMark/>
          </w:tcPr>
          <w:p w14:paraId="1D94BC70"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ESG Combined </w:t>
            </w:r>
          </w:p>
        </w:tc>
        <w:tc>
          <w:tcPr>
            <w:tcW w:w="657" w:type="dxa"/>
            <w:tcBorders>
              <w:top w:val="double" w:sz="4" w:space="0" w:color="auto"/>
              <w:bottom w:val="double" w:sz="4" w:space="0" w:color="auto"/>
            </w:tcBorders>
            <w:shd w:val="clear" w:color="auto" w:fill="auto"/>
            <w:noWrap/>
            <w:textDirection w:val="btLr"/>
            <w:vAlign w:val="center"/>
            <w:hideMark/>
          </w:tcPr>
          <w:p w14:paraId="6E0DE36F"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  ESG Controversies *</w:t>
            </w:r>
          </w:p>
        </w:tc>
        <w:tc>
          <w:tcPr>
            <w:tcW w:w="658" w:type="dxa"/>
            <w:tcBorders>
              <w:top w:val="double" w:sz="4" w:space="0" w:color="auto"/>
              <w:bottom w:val="double" w:sz="4" w:space="0" w:color="auto"/>
            </w:tcBorders>
            <w:shd w:val="clear" w:color="auto" w:fill="auto"/>
            <w:noWrap/>
            <w:textDirection w:val="btLr"/>
            <w:vAlign w:val="center"/>
            <w:hideMark/>
          </w:tcPr>
          <w:p w14:paraId="25DB15DB"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  ESG </w:t>
            </w:r>
          </w:p>
        </w:tc>
        <w:tc>
          <w:tcPr>
            <w:tcW w:w="657" w:type="dxa"/>
            <w:tcBorders>
              <w:top w:val="double" w:sz="4" w:space="0" w:color="auto"/>
              <w:bottom w:val="double" w:sz="4" w:space="0" w:color="auto"/>
            </w:tcBorders>
            <w:shd w:val="clear" w:color="auto" w:fill="auto"/>
            <w:noWrap/>
            <w:textDirection w:val="btLr"/>
            <w:vAlign w:val="center"/>
            <w:hideMark/>
          </w:tcPr>
          <w:p w14:paraId="60E24833"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Environment </w:t>
            </w:r>
          </w:p>
        </w:tc>
        <w:tc>
          <w:tcPr>
            <w:tcW w:w="657" w:type="dxa"/>
            <w:tcBorders>
              <w:top w:val="double" w:sz="4" w:space="0" w:color="auto"/>
              <w:bottom w:val="double" w:sz="4" w:space="0" w:color="auto"/>
            </w:tcBorders>
            <w:shd w:val="clear" w:color="auto" w:fill="auto"/>
            <w:noWrap/>
            <w:textDirection w:val="btLr"/>
            <w:vAlign w:val="center"/>
            <w:hideMark/>
          </w:tcPr>
          <w:p w14:paraId="63F8BDF8"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Social</w:t>
            </w:r>
          </w:p>
        </w:tc>
        <w:tc>
          <w:tcPr>
            <w:tcW w:w="657" w:type="dxa"/>
            <w:tcBorders>
              <w:top w:val="double" w:sz="4" w:space="0" w:color="auto"/>
              <w:bottom w:val="double" w:sz="4" w:space="0" w:color="auto"/>
            </w:tcBorders>
            <w:shd w:val="clear" w:color="auto" w:fill="auto"/>
            <w:noWrap/>
            <w:textDirection w:val="btLr"/>
            <w:vAlign w:val="center"/>
            <w:hideMark/>
          </w:tcPr>
          <w:p w14:paraId="589CAD15"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Governance </w:t>
            </w:r>
          </w:p>
        </w:tc>
        <w:tc>
          <w:tcPr>
            <w:tcW w:w="658" w:type="dxa"/>
            <w:tcBorders>
              <w:top w:val="double" w:sz="4" w:space="0" w:color="auto"/>
              <w:bottom w:val="double" w:sz="4" w:space="0" w:color="auto"/>
            </w:tcBorders>
            <w:shd w:val="clear" w:color="auto" w:fill="auto"/>
            <w:noWrap/>
            <w:textDirection w:val="btLr"/>
            <w:vAlign w:val="center"/>
            <w:hideMark/>
          </w:tcPr>
          <w:p w14:paraId="0DA8DE3E"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Yield Spread</w:t>
            </w:r>
          </w:p>
        </w:tc>
        <w:tc>
          <w:tcPr>
            <w:tcW w:w="657" w:type="dxa"/>
            <w:tcBorders>
              <w:top w:val="double" w:sz="4" w:space="0" w:color="auto"/>
              <w:bottom w:val="double" w:sz="4" w:space="0" w:color="auto"/>
            </w:tcBorders>
            <w:shd w:val="clear" w:color="auto" w:fill="auto"/>
            <w:noWrap/>
            <w:textDirection w:val="btLr"/>
            <w:vAlign w:val="center"/>
            <w:hideMark/>
          </w:tcPr>
          <w:p w14:paraId="22629B4F"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 xml:space="preserve">Moody's Rating </w:t>
            </w:r>
          </w:p>
        </w:tc>
        <w:tc>
          <w:tcPr>
            <w:tcW w:w="657" w:type="dxa"/>
            <w:tcBorders>
              <w:top w:val="double" w:sz="4" w:space="0" w:color="auto"/>
              <w:bottom w:val="double" w:sz="4" w:space="0" w:color="auto"/>
            </w:tcBorders>
            <w:shd w:val="clear" w:color="auto" w:fill="auto"/>
            <w:noWrap/>
            <w:textDirection w:val="btLr"/>
            <w:vAlign w:val="center"/>
            <w:hideMark/>
          </w:tcPr>
          <w:p w14:paraId="3BECF4AD"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CAR[-1,+1]</w:t>
            </w:r>
          </w:p>
        </w:tc>
        <w:tc>
          <w:tcPr>
            <w:tcW w:w="658" w:type="dxa"/>
            <w:tcBorders>
              <w:top w:val="double" w:sz="4" w:space="0" w:color="auto"/>
              <w:bottom w:val="double" w:sz="4" w:space="0" w:color="auto"/>
            </w:tcBorders>
            <w:textDirection w:val="btLr"/>
            <w:vAlign w:val="center"/>
          </w:tcPr>
          <w:p w14:paraId="0C73558F" w14:textId="77777777" w:rsidR="00EA313E" w:rsidRPr="00343C54" w:rsidRDefault="00EA313E" w:rsidP="00F42F0F">
            <w:pPr>
              <w:widowControl/>
              <w:autoSpaceDE/>
              <w:autoSpaceDN/>
              <w:ind w:left="113" w:right="-118"/>
              <w:rPr>
                <w:rFonts w:asciiTheme="majorBidi" w:hAnsiTheme="majorBidi" w:cstheme="majorBidi"/>
                <w:sz w:val="20"/>
                <w:szCs w:val="20"/>
              </w:rPr>
            </w:pPr>
            <w:r>
              <w:rPr>
                <w:color w:val="000000"/>
              </w:rPr>
              <w:t>Maturity</w:t>
            </w:r>
          </w:p>
        </w:tc>
        <w:tc>
          <w:tcPr>
            <w:tcW w:w="658" w:type="dxa"/>
            <w:tcBorders>
              <w:top w:val="double" w:sz="4" w:space="0" w:color="auto"/>
              <w:bottom w:val="double" w:sz="4" w:space="0" w:color="auto"/>
            </w:tcBorders>
            <w:shd w:val="clear" w:color="auto" w:fill="auto"/>
            <w:noWrap/>
            <w:textDirection w:val="btLr"/>
            <w:vAlign w:val="center"/>
            <w:hideMark/>
          </w:tcPr>
          <w:p w14:paraId="3FA61814" w14:textId="77777777" w:rsidR="00EA313E" w:rsidRPr="00343C54" w:rsidRDefault="00EA313E" w:rsidP="00F42F0F">
            <w:pPr>
              <w:widowControl/>
              <w:autoSpaceDE/>
              <w:autoSpaceDN/>
              <w:ind w:left="113" w:right="-118"/>
              <w:rPr>
                <w:rFonts w:asciiTheme="majorBidi" w:hAnsiTheme="majorBidi" w:cstheme="majorBidi"/>
                <w:sz w:val="20"/>
                <w:szCs w:val="20"/>
                <w14:ligatures w14:val="none"/>
              </w:rPr>
            </w:pPr>
            <w:r>
              <w:rPr>
                <w:color w:val="000000"/>
              </w:rPr>
              <w:t>Duration</w:t>
            </w:r>
          </w:p>
        </w:tc>
        <w:tc>
          <w:tcPr>
            <w:tcW w:w="658" w:type="dxa"/>
            <w:tcBorders>
              <w:top w:val="double" w:sz="4" w:space="0" w:color="auto"/>
              <w:bottom w:val="double" w:sz="4" w:space="0" w:color="auto"/>
            </w:tcBorders>
            <w:textDirection w:val="btLr"/>
            <w:vAlign w:val="center"/>
          </w:tcPr>
          <w:p w14:paraId="61F69BE4" w14:textId="77777777" w:rsidR="00EA313E" w:rsidRPr="00343C54" w:rsidRDefault="00EA313E" w:rsidP="00F42F0F">
            <w:pPr>
              <w:widowControl/>
              <w:autoSpaceDE/>
              <w:autoSpaceDN/>
              <w:ind w:left="113" w:right="-118"/>
              <w:rPr>
                <w:color w:val="000000"/>
                <w:sz w:val="20"/>
                <w:szCs w:val="20"/>
              </w:rPr>
            </w:pPr>
            <w:r>
              <w:rPr>
                <w:color w:val="000000"/>
              </w:rPr>
              <w:t>Relative Size</w:t>
            </w:r>
          </w:p>
        </w:tc>
      </w:tr>
      <w:tr w:rsidR="00EA313E" w:rsidRPr="00E22546" w14:paraId="5CCA4AEA" w14:textId="77777777" w:rsidTr="00F42F0F">
        <w:tc>
          <w:tcPr>
            <w:tcW w:w="1968" w:type="dxa"/>
            <w:tcBorders>
              <w:top w:val="double" w:sz="4" w:space="0" w:color="auto"/>
            </w:tcBorders>
            <w:shd w:val="clear" w:color="auto" w:fill="auto"/>
            <w:noWrap/>
            <w:vAlign w:val="bottom"/>
            <w:hideMark/>
          </w:tcPr>
          <w:p w14:paraId="1B4DFA55"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Issuer Size</w:t>
            </w:r>
          </w:p>
        </w:tc>
        <w:tc>
          <w:tcPr>
            <w:tcW w:w="657" w:type="dxa"/>
            <w:tcBorders>
              <w:top w:val="double" w:sz="4" w:space="0" w:color="auto"/>
            </w:tcBorders>
            <w:shd w:val="clear" w:color="auto" w:fill="auto"/>
            <w:noWrap/>
            <w:hideMark/>
          </w:tcPr>
          <w:p w14:paraId="1989465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7" w:type="dxa"/>
            <w:tcBorders>
              <w:top w:val="double" w:sz="4" w:space="0" w:color="auto"/>
            </w:tcBorders>
            <w:shd w:val="clear" w:color="auto" w:fill="auto"/>
            <w:noWrap/>
            <w:hideMark/>
          </w:tcPr>
          <w:p w14:paraId="425BC7E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-.206</w:t>
            </w:r>
            <w:r w:rsidRPr="00DD7519">
              <w:rPr>
                <w:rFonts w:asciiTheme="majorBidi" w:hAnsiTheme="majorBidi" w:cstheme="majorBidi"/>
                <w:sz w:val="20"/>
                <w:szCs w:val="20"/>
                <w:vertAlign w:val="superscript"/>
              </w:rPr>
              <w:t>**</w:t>
            </w:r>
          </w:p>
        </w:tc>
        <w:tc>
          <w:tcPr>
            <w:tcW w:w="657" w:type="dxa"/>
            <w:tcBorders>
              <w:top w:val="double" w:sz="4" w:space="0" w:color="auto"/>
            </w:tcBorders>
            <w:shd w:val="clear" w:color="auto" w:fill="auto"/>
            <w:noWrap/>
            <w:hideMark/>
          </w:tcPr>
          <w:p w14:paraId="560FC18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-.031</w:t>
            </w:r>
            <w:r w:rsidRPr="00DD7519">
              <w:rPr>
                <w:rFonts w:asciiTheme="majorBidi" w:hAnsiTheme="majorBidi" w:cstheme="majorBidi"/>
                <w:sz w:val="20"/>
                <w:szCs w:val="20"/>
                <w:vertAlign w:val="superscript"/>
              </w:rPr>
              <w:t>*</w:t>
            </w:r>
          </w:p>
        </w:tc>
        <w:tc>
          <w:tcPr>
            <w:tcW w:w="658" w:type="dxa"/>
            <w:tcBorders>
              <w:top w:val="double" w:sz="4" w:space="0" w:color="auto"/>
            </w:tcBorders>
            <w:shd w:val="clear" w:color="auto" w:fill="auto"/>
            <w:noWrap/>
            <w:hideMark/>
          </w:tcPr>
          <w:p w14:paraId="35803A2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.039</w:t>
            </w:r>
            <w:r w:rsidRPr="00DD7519">
              <w:rPr>
                <w:rFonts w:asciiTheme="majorBidi" w:hAnsiTheme="majorBidi" w:cstheme="majorBidi"/>
                <w:sz w:val="20"/>
                <w:szCs w:val="20"/>
                <w:vertAlign w:val="superscript"/>
              </w:rPr>
              <w:t>**</w:t>
            </w:r>
          </w:p>
        </w:tc>
        <w:tc>
          <w:tcPr>
            <w:tcW w:w="657" w:type="dxa"/>
            <w:tcBorders>
              <w:top w:val="double" w:sz="4" w:space="0" w:color="auto"/>
            </w:tcBorders>
            <w:shd w:val="clear" w:color="auto" w:fill="auto"/>
            <w:noWrap/>
            <w:hideMark/>
          </w:tcPr>
          <w:p w14:paraId="1342AE8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7" w:type="dxa"/>
            <w:tcBorders>
              <w:top w:val="double" w:sz="4" w:space="0" w:color="auto"/>
            </w:tcBorders>
            <w:shd w:val="clear" w:color="auto" w:fill="auto"/>
            <w:noWrap/>
            <w:hideMark/>
          </w:tcPr>
          <w:p w14:paraId="002F114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.205</w:t>
            </w:r>
            <w:r w:rsidRPr="00DD7519">
              <w:rPr>
                <w:rFonts w:asciiTheme="majorBidi" w:hAnsiTheme="majorBidi" w:cstheme="majorBidi"/>
                <w:sz w:val="20"/>
                <w:szCs w:val="20"/>
                <w:vertAlign w:val="superscript"/>
              </w:rPr>
              <w:t>**</w:t>
            </w:r>
          </w:p>
        </w:tc>
        <w:tc>
          <w:tcPr>
            <w:tcW w:w="657" w:type="dxa"/>
            <w:tcBorders>
              <w:top w:val="double" w:sz="4" w:space="0" w:color="auto"/>
            </w:tcBorders>
            <w:shd w:val="clear" w:color="auto" w:fill="auto"/>
            <w:noWrap/>
            <w:hideMark/>
          </w:tcPr>
          <w:p w14:paraId="28B73B5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-.600</w:t>
            </w:r>
            <w:r w:rsidRPr="00DD7519">
              <w:rPr>
                <w:rFonts w:asciiTheme="majorBidi" w:hAnsiTheme="majorBidi" w:cstheme="majorBidi"/>
                <w:sz w:val="20"/>
                <w:szCs w:val="20"/>
                <w:vertAlign w:val="superscript"/>
              </w:rPr>
              <w:t>**</w:t>
            </w:r>
          </w:p>
        </w:tc>
        <w:tc>
          <w:tcPr>
            <w:tcW w:w="658" w:type="dxa"/>
            <w:tcBorders>
              <w:top w:val="double" w:sz="4" w:space="0" w:color="auto"/>
            </w:tcBorders>
            <w:shd w:val="clear" w:color="auto" w:fill="auto"/>
            <w:noWrap/>
            <w:hideMark/>
          </w:tcPr>
          <w:p w14:paraId="186B80C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.549</w:t>
            </w:r>
            <w:r w:rsidRPr="00DD7519">
              <w:rPr>
                <w:rFonts w:asciiTheme="majorBidi" w:hAnsiTheme="majorBidi" w:cstheme="majorBidi"/>
                <w:sz w:val="20"/>
                <w:szCs w:val="20"/>
                <w:vertAlign w:val="superscript"/>
              </w:rPr>
              <w:t>**</w:t>
            </w:r>
          </w:p>
        </w:tc>
        <w:tc>
          <w:tcPr>
            <w:tcW w:w="657" w:type="dxa"/>
            <w:tcBorders>
              <w:top w:val="double" w:sz="4" w:space="0" w:color="auto"/>
            </w:tcBorders>
            <w:shd w:val="clear" w:color="auto" w:fill="auto"/>
            <w:noWrap/>
            <w:hideMark/>
          </w:tcPr>
          <w:p w14:paraId="6F38E95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.556</w:t>
            </w:r>
            <w:r w:rsidRPr="00DD7519">
              <w:rPr>
                <w:rFonts w:asciiTheme="majorBidi" w:hAnsiTheme="majorBidi" w:cstheme="majorBidi"/>
                <w:sz w:val="20"/>
                <w:szCs w:val="20"/>
                <w:vertAlign w:val="superscript"/>
              </w:rPr>
              <w:t>**</w:t>
            </w:r>
          </w:p>
        </w:tc>
        <w:tc>
          <w:tcPr>
            <w:tcW w:w="657" w:type="dxa"/>
            <w:tcBorders>
              <w:top w:val="double" w:sz="4" w:space="0" w:color="auto"/>
            </w:tcBorders>
            <w:shd w:val="clear" w:color="auto" w:fill="auto"/>
            <w:noWrap/>
            <w:hideMark/>
          </w:tcPr>
          <w:p w14:paraId="755BFF7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.530</w:t>
            </w:r>
            <w:r w:rsidRPr="00DD7519">
              <w:rPr>
                <w:rFonts w:asciiTheme="majorBidi" w:hAnsiTheme="majorBidi" w:cstheme="majorBidi"/>
                <w:sz w:val="20"/>
                <w:szCs w:val="20"/>
                <w:vertAlign w:val="superscript"/>
              </w:rPr>
              <w:t>**</w:t>
            </w:r>
          </w:p>
        </w:tc>
        <w:tc>
          <w:tcPr>
            <w:tcW w:w="657" w:type="dxa"/>
            <w:tcBorders>
              <w:top w:val="double" w:sz="4" w:space="0" w:color="auto"/>
            </w:tcBorders>
            <w:shd w:val="clear" w:color="auto" w:fill="auto"/>
            <w:noWrap/>
            <w:hideMark/>
          </w:tcPr>
          <w:p w14:paraId="6564BB9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.270</w:t>
            </w:r>
            <w:r w:rsidRPr="00DD7519">
              <w:rPr>
                <w:rFonts w:asciiTheme="majorBidi" w:hAnsiTheme="majorBidi" w:cstheme="majorBidi"/>
                <w:sz w:val="20"/>
                <w:szCs w:val="20"/>
                <w:vertAlign w:val="superscript"/>
              </w:rPr>
              <w:t>**</w:t>
            </w:r>
          </w:p>
        </w:tc>
        <w:tc>
          <w:tcPr>
            <w:tcW w:w="658" w:type="dxa"/>
            <w:tcBorders>
              <w:top w:val="double" w:sz="4" w:space="0" w:color="auto"/>
            </w:tcBorders>
            <w:shd w:val="clear" w:color="auto" w:fill="auto"/>
            <w:noWrap/>
            <w:hideMark/>
          </w:tcPr>
          <w:p w14:paraId="647C983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-.344</w:t>
            </w:r>
            <w:r w:rsidRPr="00DD7519">
              <w:rPr>
                <w:rFonts w:asciiTheme="majorBidi" w:hAnsiTheme="majorBidi" w:cstheme="majorBidi"/>
                <w:sz w:val="20"/>
                <w:szCs w:val="20"/>
                <w:vertAlign w:val="superscript"/>
              </w:rPr>
              <w:t>**</w:t>
            </w:r>
          </w:p>
        </w:tc>
        <w:tc>
          <w:tcPr>
            <w:tcW w:w="657" w:type="dxa"/>
            <w:tcBorders>
              <w:top w:val="double" w:sz="4" w:space="0" w:color="auto"/>
            </w:tcBorders>
            <w:shd w:val="clear" w:color="auto" w:fill="auto"/>
            <w:noWrap/>
            <w:hideMark/>
          </w:tcPr>
          <w:p w14:paraId="1AE78CE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.378</w:t>
            </w:r>
            <w:r w:rsidRPr="00DD7519">
              <w:rPr>
                <w:rFonts w:asciiTheme="majorBidi" w:hAnsiTheme="majorBidi" w:cstheme="majorBidi"/>
                <w:sz w:val="20"/>
                <w:szCs w:val="20"/>
                <w:vertAlign w:val="superscript"/>
              </w:rPr>
              <w:t>**</w:t>
            </w:r>
          </w:p>
        </w:tc>
        <w:tc>
          <w:tcPr>
            <w:tcW w:w="657" w:type="dxa"/>
            <w:tcBorders>
              <w:top w:val="double" w:sz="4" w:space="0" w:color="auto"/>
            </w:tcBorders>
            <w:shd w:val="clear" w:color="auto" w:fill="auto"/>
            <w:noWrap/>
            <w:hideMark/>
          </w:tcPr>
          <w:p w14:paraId="40166D5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.085</w:t>
            </w:r>
            <w:r w:rsidRPr="00DD7519">
              <w:rPr>
                <w:rFonts w:asciiTheme="majorBidi" w:hAnsiTheme="majorBidi" w:cstheme="majorBidi"/>
                <w:sz w:val="20"/>
                <w:szCs w:val="20"/>
                <w:vertAlign w:val="superscript"/>
              </w:rPr>
              <w:t>**</w:t>
            </w:r>
          </w:p>
        </w:tc>
        <w:tc>
          <w:tcPr>
            <w:tcW w:w="658" w:type="dxa"/>
            <w:tcBorders>
              <w:top w:val="double" w:sz="4" w:space="0" w:color="auto"/>
            </w:tcBorders>
          </w:tcPr>
          <w:p w14:paraId="376D652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.116</w:t>
            </w:r>
            <w:r w:rsidRPr="00DD7519">
              <w:rPr>
                <w:rFonts w:asciiTheme="majorBidi" w:hAnsiTheme="majorBidi" w:cstheme="majorBidi"/>
                <w:sz w:val="20"/>
                <w:szCs w:val="20"/>
                <w:vertAlign w:val="superscript"/>
              </w:rPr>
              <w:t>**</w:t>
            </w:r>
          </w:p>
        </w:tc>
        <w:tc>
          <w:tcPr>
            <w:tcW w:w="658" w:type="dxa"/>
            <w:tcBorders>
              <w:top w:val="double" w:sz="4" w:space="0" w:color="auto"/>
            </w:tcBorders>
            <w:shd w:val="clear" w:color="auto" w:fill="auto"/>
            <w:noWrap/>
            <w:hideMark/>
          </w:tcPr>
          <w:p w14:paraId="7ACDFB4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.143</w:t>
            </w:r>
            <w:r w:rsidRPr="00DD7519">
              <w:rPr>
                <w:rFonts w:asciiTheme="majorBidi" w:hAnsiTheme="majorBidi" w:cstheme="majorBidi"/>
                <w:sz w:val="20"/>
                <w:szCs w:val="20"/>
                <w:vertAlign w:val="superscript"/>
              </w:rPr>
              <w:t>**</w:t>
            </w:r>
          </w:p>
        </w:tc>
        <w:tc>
          <w:tcPr>
            <w:tcW w:w="658" w:type="dxa"/>
            <w:tcBorders>
              <w:top w:val="double" w:sz="4" w:space="0" w:color="auto"/>
            </w:tcBorders>
          </w:tcPr>
          <w:p w14:paraId="4B2EC86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-.036</w:t>
            </w:r>
            <w:r w:rsidRPr="00DD7519">
              <w:rPr>
                <w:rFonts w:asciiTheme="majorBidi" w:hAnsiTheme="majorBidi" w:cstheme="majorBidi"/>
                <w:sz w:val="20"/>
                <w:szCs w:val="20"/>
                <w:vertAlign w:val="superscript"/>
              </w:rPr>
              <w:t>**</w:t>
            </w:r>
          </w:p>
        </w:tc>
      </w:tr>
      <w:tr w:rsidR="00EA313E" w:rsidRPr="00E22546" w14:paraId="33A2E0BB" w14:textId="77777777" w:rsidTr="00F42F0F">
        <w:tc>
          <w:tcPr>
            <w:tcW w:w="1968" w:type="dxa"/>
            <w:shd w:val="clear" w:color="auto" w:fill="auto"/>
            <w:noWrap/>
            <w:vAlign w:val="bottom"/>
            <w:hideMark/>
          </w:tcPr>
          <w:p w14:paraId="57A8E1C0"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Leverage</w:t>
            </w:r>
          </w:p>
        </w:tc>
        <w:tc>
          <w:tcPr>
            <w:tcW w:w="657" w:type="dxa"/>
            <w:shd w:val="clear" w:color="auto" w:fill="auto"/>
            <w:noWrap/>
            <w:hideMark/>
          </w:tcPr>
          <w:p w14:paraId="04E96E6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-.206</w:t>
            </w:r>
            <w:r w:rsidRPr="00DD7519">
              <w:rPr>
                <w:rFonts w:asciiTheme="majorBidi" w:hAnsiTheme="majorBidi" w:cstheme="majorBidi"/>
                <w:sz w:val="20"/>
                <w:szCs w:val="20"/>
                <w:vertAlign w:val="superscript"/>
              </w:rPr>
              <w:t>**</w:t>
            </w:r>
          </w:p>
        </w:tc>
        <w:tc>
          <w:tcPr>
            <w:tcW w:w="657" w:type="dxa"/>
            <w:shd w:val="clear" w:color="auto" w:fill="auto"/>
            <w:noWrap/>
            <w:hideMark/>
          </w:tcPr>
          <w:p w14:paraId="0A3DFFC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7" w:type="dxa"/>
            <w:shd w:val="clear" w:color="auto" w:fill="auto"/>
            <w:noWrap/>
            <w:hideMark/>
          </w:tcPr>
          <w:p w14:paraId="07892C6A"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-.185</w:t>
            </w:r>
            <w:r w:rsidRPr="00DD7519">
              <w:rPr>
                <w:rFonts w:asciiTheme="majorBidi" w:hAnsiTheme="majorBidi" w:cstheme="majorBidi"/>
                <w:sz w:val="20"/>
                <w:szCs w:val="20"/>
                <w:vertAlign w:val="superscript"/>
              </w:rPr>
              <w:t>**</w:t>
            </w:r>
          </w:p>
        </w:tc>
        <w:tc>
          <w:tcPr>
            <w:tcW w:w="658" w:type="dxa"/>
            <w:shd w:val="clear" w:color="auto" w:fill="auto"/>
            <w:noWrap/>
            <w:hideMark/>
          </w:tcPr>
          <w:p w14:paraId="347992C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-.047</w:t>
            </w:r>
            <w:r w:rsidRPr="00DD7519">
              <w:rPr>
                <w:rFonts w:asciiTheme="majorBidi" w:hAnsiTheme="majorBidi" w:cstheme="majorBidi"/>
                <w:sz w:val="20"/>
                <w:szCs w:val="20"/>
                <w:vertAlign w:val="superscript"/>
              </w:rPr>
              <w:t>**</w:t>
            </w:r>
          </w:p>
        </w:tc>
        <w:tc>
          <w:tcPr>
            <w:tcW w:w="657" w:type="dxa"/>
            <w:shd w:val="clear" w:color="auto" w:fill="auto"/>
            <w:noWrap/>
            <w:hideMark/>
          </w:tcPr>
          <w:p w14:paraId="3701E0C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-.141</w:t>
            </w:r>
            <w:r w:rsidRPr="00DD7519">
              <w:rPr>
                <w:rFonts w:asciiTheme="majorBidi" w:hAnsiTheme="majorBidi" w:cstheme="majorBidi"/>
                <w:sz w:val="20"/>
                <w:szCs w:val="20"/>
                <w:vertAlign w:val="superscript"/>
              </w:rPr>
              <w:t>**</w:t>
            </w:r>
          </w:p>
        </w:tc>
        <w:tc>
          <w:tcPr>
            <w:tcW w:w="657" w:type="dxa"/>
            <w:shd w:val="clear" w:color="auto" w:fill="auto"/>
            <w:noWrap/>
            <w:hideMark/>
          </w:tcPr>
          <w:p w14:paraId="5E19C48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-.028</w:t>
            </w:r>
            <w:r w:rsidRPr="00DD7519">
              <w:rPr>
                <w:rFonts w:asciiTheme="majorBidi" w:hAnsiTheme="majorBidi" w:cstheme="majorBidi"/>
                <w:sz w:val="20"/>
                <w:szCs w:val="20"/>
                <w:vertAlign w:val="superscript"/>
              </w:rPr>
              <w:t>*</w:t>
            </w:r>
          </w:p>
        </w:tc>
        <w:tc>
          <w:tcPr>
            <w:tcW w:w="657" w:type="dxa"/>
            <w:shd w:val="clear" w:color="auto" w:fill="auto"/>
            <w:noWrap/>
            <w:hideMark/>
          </w:tcPr>
          <w:p w14:paraId="1D9567C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.072</w:t>
            </w:r>
            <w:r w:rsidRPr="00DD7519">
              <w:rPr>
                <w:rFonts w:asciiTheme="majorBidi" w:hAnsiTheme="majorBidi" w:cstheme="majorBidi"/>
                <w:sz w:val="20"/>
                <w:szCs w:val="20"/>
                <w:vertAlign w:val="superscript"/>
              </w:rPr>
              <w:t>**</w:t>
            </w:r>
          </w:p>
        </w:tc>
        <w:tc>
          <w:tcPr>
            <w:tcW w:w="658" w:type="dxa"/>
            <w:shd w:val="clear" w:color="auto" w:fill="auto"/>
            <w:noWrap/>
            <w:hideMark/>
          </w:tcPr>
          <w:p w14:paraId="07BA227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-.076</w:t>
            </w:r>
            <w:r w:rsidRPr="00DD7519">
              <w:rPr>
                <w:rFonts w:asciiTheme="majorBidi" w:hAnsiTheme="majorBidi" w:cstheme="majorBidi"/>
                <w:sz w:val="20"/>
                <w:szCs w:val="20"/>
                <w:vertAlign w:val="superscript"/>
              </w:rPr>
              <w:t>**</w:t>
            </w:r>
          </w:p>
        </w:tc>
        <w:tc>
          <w:tcPr>
            <w:tcW w:w="657" w:type="dxa"/>
            <w:shd w:val="clear" w:color="auto" w:fill="auto"/>
            <w:noWrap/>
            <w:hideMark/>
          </w:tcPr>
          <w:p w14:paraId="0ACA0B4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-.080</w:t>
            </w:r>
            <w:r w:rsidRPr="00DD7519">
              <w:rPr>
                <w:rFonts w:asciiTheme="majorBidi" w:hAnsiTheme="majorBidi" w:cstheme="majorBidi"/>
                <w:sz w:val="20"/>
                <w:szCs w:val="20"/>
                <w:vertAlign w:val="superscript"/>
              </w:rPr>
              <w:t>**</w:t>
            </w:r>
          </w:p>
        </w:tc>
        <w:tc>
          <w:tcPr>
            <w:tcW w:w="657" w:type="dxa"/>
            <w:shd w:val="clear" w:color="auto" w:fill="auto"/>
            <w:noWrap/>
            <w:hideMark/>
          </w:tcPr>
          <w:p w14:paraId="041F4B8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-.048</w:t>
            </w:r>
            <w:r w:rsidRPr="00DD7519">
              <w:rPr>
                <w:rFonts w:asciiTheme="majorBidi" w:hAnsiTheme="majorBidi" w:cstheme="majorBidi"/>
                <w:sz w:val="20"/>
                <w:szCs w:val="20"/>
                <w:vertAlign w:val="superscript"/>
              </w:rPr>
              <w:t>**</w:t>
            </w:r>
          </w:p>
        </w:tc>
        <w:tc>
          <w:tcPr>
            <w:tcW w:w="657" w:type="dxa"/>
            <w:shd w:val="clear" w:color="auto" w:fill="auto"/>
            <w:noWrap/>
            <w:hideMark/>
          </w:tcPr>
          <w:p w14:paraId="3FA2593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-.076</w:t>
            </w:r>
            <w:r w:rsidRPr="00DD7519">
              <w:rPr>
                <w:rFonts w:asciiTheme="majorBidi" w:hAnsiTheme="majorBidi" w:cstheme="majorBidi"/>
                <w:sz w:val="20"/>
                <w:szCs w:val="20"/>
                <w:vertAlign w:val="superscript"/>
              </w:rPr>
              <w:t>**</w:t>
            </w:r>
          </w:p>
        </w:tc>
        <w:tc>
          <w:tcPr>
            <w:tcW w:w="658" w:type="dxa"/>
            <w:shd w:val="clear" w:color="auto" w:fill="auto"/>
            <w:noWrap/>
            <w:hideMark/>
          </w:tcPr>
          <w:p w14:paraId="524613A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.233</w:t>
            </w:r>
            <w:r w:rsidRPr="00DD7519">
              <w:rPr>
                <w:rFonts w:asciiTheme="majorBidi" w:hAnsiTheme="majorBidi" w:cstheme="majorBidi"/>
                <w:sz w:val="20"/>
                <w:szCs w:val="20"/>
                <w:vertAlign w:val="superscript"/>
              </w:rPr>
              <w:t>**</w:t>
            </w:r>
          </w:p>
        </w:tc>
        <w:tc>
          <w:tcPr>
            <w:tcW w:w="657" w:type="dxa"/>
            <w:shd w:val="clear" w:color="auto" w:fill="auto"/>
            <w:noWrap/>
            <w:hideMark/>
          </w:tcPr>
          <w:p w14:paraId="656E05F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-.145</w:t>
            </w:r>
            <w:r w:rsidRPr="00DD7519">
              <w:rPr>
                <w:rFonts w:asciiTheme="majorBidi" w:hAnsiTheme="majorBidi" w:cstheme="majorBidi"/>
                <w:sz w:val="20"/>
                <w:szCs w:val="20"/>
                <w:vertAlign w:val="superscript"/>
              </w:rPr>
              <w:t>**</w:t>
            </w:r>
          </w:p>
        </w:tc>
        <w:tc>
          <w:tcPr>
            <w:tcW w:w="657" w:type="dxa"/>
            <w:shd w:val="clear" w:color="auto" w:fill="auto"/>
            <w:noWrap/>
            <w:hideMark/>
          </w:tcPr>
          <w:p w14:paraId="48E7324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-.072</w:t>
            </w:r>
            <w:r w:rsidRPr="00DD7519">
              <w:rPr>
                <w:rFonts w:asciiTheme="majorBidi" w:hAnsiTheme="majorBidi" w:cstheme="majorBidi"/>
                <w:sz w:val="20"/>
                <w:szCs w:val="20"/>
                <w:vertAlign w:val="superscript"/>
              </w:rPr>
              <w:t>**</w:t>
            </w:r>
          </w:p>
        </w:tc>
        <w:tc>
          <w:tcPr>
            <w:tcW w:w="658" w:type="dxa"/>
          </w:tcPr>
          <w:p w14:paraId="68801F4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-.041</w:t>
            </w:r>
            <w:r w:rsidRPr="00DD7519">
              <w:rPr>
                <w:rFonts w:asciiTheme="majorBidi" w:hAnsiTheme="majorBidi" w:cstheme="majorBidi"/>
                <w:sz w:val="20"/>
                <w:szCs w:val="20"/>
                <w:vertAlign w:val="superscript"/>
              </w:rPr>
              <w:t>**</w:t>
            </w:r>
          </w:p>
        </w:tc>
        <w:tc>
          <w:tcPr>
            <w:tcW w:w="658" w:type="dxa"/>
            <w:shd w:val="clear" w:color="auto" w:fill="auto"/>
            <w:noWrap/>
            <w:hideMark/>
          </w:tcPr>
          <w:p w14:paraId="163C2EE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-.040</w:t>
            </w:r>
            <w:r w:rsidRPr="00DD7519">
              <w:rPr>
                <w:rFonts w:asciiTheme="majorBidi" w:hAnsiTheme="majorBidi" w:cstheme="majorBidi"/>
                <w:sz w:val="20"/>
                <w:szCs w:val="20"/>
                <w:vertAlign w:val="superscript"/>
              </w:rPr>
              <w:t>**</w:t>
            </w:r>
          </w:p>
        </w:tc>
        <w:tc>
          <w:tcPr>
            <w:tcW w:w="658" w:type="dxa"/>
          </w:tcPr>
          <w:p w14:paraId="1DDFF41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-.079</w:t>
            </w:r>
            <w:r w:rsidRPr="00DD7519">
              <w:rPr>
                <w:rFonts w:asciiTheme="majorBidi" w:hAnsiTheme="majorBidi" w:cstheme="majorBidi"/>
                <w:sz w:val="20"/>
                <w:szCs w:val="20"/>
                <w:vertAlign w:val="superscript"/>
              </w:rPr>
              <w:t>**</w:t>
            </w:r>
          </w:p>
        </w:tc>
      </w:tr>
      <w:tr w:rsidR="00EA313E" w:rsidRPr="00E22546" w14:paraId="6E5D236E" w14:textId="77777777" w:rsidTr="00F42F0F">
        <w:tc>
          <w:tcPr>
            <w:tcW w:w="1968" w:type="dxa"/>
            <w:shd w:val="clear" w:color="auto" w:fill="auto"/>
            <w:noWrap/>
            <w:vAlign w:val="bottom"/>
            <w:hideMark/>
          </w:tcPr>
          <w:p w14:paraId="0A943463"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Big4</w:t>
            </w:r>
          </w:p>
        </w:tc>
        <w:tc>
          <w:tcPr>
            <w:tcW w:w="657" w:type="dxa"/>
            <w:shd w:val="clear" w:color="auto" w:fill="auto"/>
            <w:noWrap/>
            <w:hideMark/>
          </w:tcPr>
          <w:p w14:paraId="72AA744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-.031</w:t>
            </w:r>
            <w:r w:rsidRPr="00DD7519">
              <w:rPr>
                <w:rFonts w:asciiTheme="majorBidi" w:hAnsiTheme="majorBidi" w:cstheme="majorBidi"/>
                <w:sz w:val="20"/>
                <w:szCs w:val="20"/>
                <w:vertAlign w:val="superscript"/>
              </w:rPr>
              <w:t>*</w:t>
            </w:r>
          </w:p>
        </w:tc>
        <w:tc>
          <w:tcPr>
            <w:tcW w:w="657" w:type="dxa"/>
            <w:shd w:val="clear" w:color="auto" w:fill="auto"/>
            <w:noWrap/>
            <w:hideMark/>
          </w:tcPr>
          <w:p w14:paraId="103AEDF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-.185</w:t>
            </w:r>
            <w:r w:rsidRPr="00DD7519">
              <w:rPr>
                <w:rFonts w:asciiTheme="majorBidi" w:hAnsiTheme="majorBidi" w:cstheme="majorBidi"/>
                <w:sz w:val="20"/>
                <w:szCs w:val="20"/>
                <w:vertAlign w:val="superscript"/>
              </w:rPr>
              <w:t>**</w:t>
            </w:r>
          </w:p>
        </w:tc>
        <w:tc>
          <w:tcPr>
            <w:tcW w:w="657" w:type="dxa"/>
            <w:shd w:val="clear" w:color="auto" w:fill="auto"/>
            <w:noWrap/>
            <w:hideMark/>
          </w:tcPr>
          <w:p w14:paraId="3FC78BB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8" w:type="dxa"/>
            <w:shd w:val="clear" w:color="auto" w:fill="auto"/>
            <w:noWrap/>
            <w:hideMark/>
          </w:tcPr>
          <w:p w14:paraId="6548092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0.02</w:t>
            </w:r>
          </w:p>
        </w:tc>
        <w:tc>
          <w:tcPr>
            <w:tcW w:w="657" w:type="dxa"/>
            <w:shd w:val="clear" w:color="auto" w:fill="auto"/>
            <w:noWrap/>
            <w:hideMark/>
          </w:tcPr>
          <w:p w14:paraId="1793176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0.02</w:t>
            </w:r>
          </w:p>
        </w:tc>
        <w:tc>
          <w:tcPr>
            <w:tcW w:w="657" w:type="dxa"/>
            <w:shd w:val="clear" w:color="auto" w:fill="auto"/>
            <w:noWrap/>
            <w:hideMark/>
          </w:tcPr>
          <w:p w14:paraId="00F65B5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-.111</w:t>
            </w:r>
            <w:r w:rsidRPr="00DD7519">
              <w:rPr>
                <w:rFonts w:asciiTheme="majorBidi" w:hAnsiTheme="majorBidi" w:cstheme="majorBidi"/>
                <w:sz w:val="20"/>
                <w:szCs w:val="20"/>
                <w:vertAlign w:val="superscript"/>
              </w:rPr>
              <w:t>**</w:t>
            </w:r>
          </w:p>
        </w:tc>
        <w:tc>
          <w:tcPr>
            <w:tcW w:w="657" w:type="dxa"/>
            <w:shd w:val="clear" w:color="auto" w:fill="auto"/>
            <w:noWrap/>
            <w:hideMark/>
          </w:tcPr>
          <w:p w14:paraId="0619ADB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0.02</w:t>
            </w:r>
          </w:p>
        </w:tc>
        <w:tc>
          <w:tcPr>
            <w:tcW w:w="658" w:type="dxa"/>
            <w:shd w:val="clear" w:color="auto" w:fill="auto"/>
            <w:noWrap/>
            <w:hideMark/>
          </w:tcPr>
          <w:p w14:paraId="2229C19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-.126</w:t>
            </w:r>
            <w:r w:rsidRPr="00DD7519">
              <w:rPr>
                <w:rFonts w:asciiTheme="majorBidi" w:hAnsiTheme="majorBidi" w:cstheme="majorBidi"/>
                <w:sz w:val="20"/>
                <w:szCs w:val="20"/>
                <w:vertAlign w:val="superscript"/>
              </w:rPr>
              <w:t>**</w:t>
            </w:r>
          </w:p>
        </w:tc>
        <w:tc>
          <w:tcPr>
            <w:tcW w:w="657" w:type="dxa"/>
            <w:shd w:val="clear" w:color="auto" w:fill="auto"/>
            <w:noWrap/>
            <w:hideMark/>
          </w:tcPr>
          <w:p w14:paraId="36F46BB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-.085</w:t>
            </w:r>
            <w:r w:rsidRPr="00DD7519">
              <w:rPr>
                <w:rFonts w:asciiTheme="majorBidi" w:hAnsiTheme="majorBidi" w:cstheme="majorBidi"/>
                <w:sz w:val="20"/>
                <w:szCs w:val="20"/>
                <w:vertAlign w:val="superscript"/>
              </w:rPr>
              <w:t>**</w:t>
            </w:r>
          </w:p>
        </w:tc>
        <w:tc>
          <w:tcPr>
            <w:tcW w:w="657" w:type="dxa"/>
            <w:shd w:val="clear" w:color="auto" w:fill="auto"/>
            <w:noWrap/>
            <w:hideMark/>
          </w:tcPr>
          <w:p w14:paraId="59D6472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-.122</w:t>
            </w:r>
            <w:r w:rsidRPr="00DD7519">
              <w:rPr>
                <w:rFonts w:asciiTheme="majorBidi" w:hAnsiTheme="majorBidi" w:cstheme="majorBidi"/>
                <w:sz w:val="20"/>
                <w:szCs w:val="20"/>
                <w:vertAlign w:val="superscript"/>
              </w:rPr>
              <w:t>**</w:t>
            </w:r>
          </w:p>
        </w:tc>
        <w:tc>
          <w:tcPr>
            <w:tcW w:w="657" w:type="dxa"/>
            <w:shd w:val="clear" w:color="auto" w:fill="auto"/>
            <w:noWrap/>
            <w:hideMark/>
          </w:tcPr>
          <w:p w14:paraId="0C75882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-.096</w:t>
            </w:r>
            <w:r w:rsidRPr="00DD7519">
              <w:rPr>
                <w:rFonts w:asciiTheme="majorBidi" w:hAnsiTheme="majorBidi" w:cstheme="majorBidi"/>
                <w:sz w:val="20"/>
                <w:szCs w:val="20"/>
                <w:vertAlign w:val="superscript"/>
              </w:rPr>
              <w:t>**</w:t>
            </w:r>
          </w:p>
        </w:tc>
        <w:tc>
          <w:tcPr>
            <w:tcW w:w="658" w:type="dxa"/>
            <w:shd w:val="clear" w:color="auto" w:fill="auto"/>
            <w:noWrap/>
            <w:hideMark/>
          </w:tcPr>
          <w:p w14:paraId="13F41A5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.082</w:t>
            </w:r>
            <w:r w:rsidRPr="00DD7519">
              <w:rPr>
                <w:rFonts w:asciiTheme="majorBidi" w:hAnsiTheme="majorBidi" w:cstheme="majorBidi"/>
                <w:sz w:val="20"/>
                <w:szCs w:val="20"/>
                <w:vertAlign w:val="superscript"/>
              </w:rPr>
              <w:t>**</w:t>
            </w:r>
          </w:p>
        </w:tc>
        <w:tc>
          <w:tcPr>
            <w:tcW w:w="657" w:type="dxa"/>
            <w:shd w:val="clear" w:color="auto" w:fill="auto"/>
            <w:noWrap/>
            <w:hideMark/>
          </w:tcPr>
          <w:p w14:paraId="16A3C9A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.094</w:t>
            </w:r>
            <w:r w:rsidRPr="00DD7519">
              <w:rPr>
                <w:rFonts w:asciiTheme="majorBidi" w:hAnsiTheme="majorBidi" w:cstheme="majorBidi"/>
                <w:sz w:val="20"/>
                <w:szCs w:val="20"/>
                <w:vertAlign w:val="superscript"/>
              </w:rPr>
              <w:t>**</w:t>
            </w:r>
          </w:p>
        </w:tc>
        <w:tc>
          <w:tcPr>
            <w:tcW w:w="657" w:type="dxa"/>
            <w:shd w:val="clear" w:color="auto" w:fill="auto"/>
            <w:noWrap/>
            <w:hideMark/>
          </w:tcPr>
          <w:p w14:paraId="247C1F8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.039</w:t>
            </w:r>
            <w:r w:rsidRPr="00DD7519">
              <w:rPr>
                <w:rFonts w:asciiTheme="majorBidi" w:hAnsiTheme="majorBidi" w:cstheme="majorBidi"/>
                <w:sz w:val="20"/>
                <w:szCs w:val="20"/>
                <w:vertAlign w:val="superscript"/>
              </w:rPr>
              <w:t>**</w:t>
            </w:r>
          </w:p>
        </w:tc>
        <w:tc>
          <w:tcPr>
            <w:tcW w:w="658" w:type="dxa"/>
          </w:tcPr>
          <w:p w14:paraId="48D159C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8" w:type="dxa"/>
            <w:shd w:val="clear" w:color="auto" w:fill="auto"/>
            <w:noWrap/>
            <w:hideMark/>
          </w:tcPr>
          <w:p w14:paraId="226EE15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-.040</w:t>
            </w:r>
            <w:r w:rsidRPr="00DD7519">
              <w:rPr>
                <w:rFonts w:asciiTheme="majorBidi" w:hAnsiTheme="majorBidi" w:cstheme="majorBidi"/>
                <w:sz w:val="20"/>
                <w:szCs w:val="20"/>
                <w:vertAlign w:val="superscript"/>
              </w:rPr>
              <w:t>**</w:t>
            </w:r>
          </w:p>
        </w:tc>
        <w:tc>
          <w:tcPr>
            <w:tcW w:w="658" w:type="dxa"/>
          </w:tcPr>
          <w:p w14:paraId="12C6C41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0.01</w:t>
            </w:r>
          </w:p>
        </w:tc>
      </w:tr>
      <w:tr w:rsidR="00EA313E" w:rsidRPr="00E22546" w14:paraId="09697F49" w14:textId="77777777" w:rsidTr="00F42F0F">
        <w:tc>
          <w:tcPr>
            <w:tcW w:w="1968" w:type="dxa"/>
            <w:shd w:val="clear" w:color="auto" w:fill="auto"/>
            <w:noWrap/>
            <w:vAlign w:val="bottom"/>
            <w:hideMark/>
          </w:tcPr>
          <w:p w14:paraId="06252FF2"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Return on Assets</w:t>
            </w:r>
          </w:p>
        </w:tc>
        <w:tc>
          <w:tcPr>
            <w:tcW w:w="657" w:type="dxa"/>
            <w:shd w:val="clear" w:color="auto" w:fill="auto"/>
            <w:noWrap/>
            <w:hideMark/>
          </w:tcPr>
          <w:p w14:paraId="5BAD097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.039</w:t>
            </w:r>
            <w:r w:rsidRPr="00DD7519">
              <w:rPr>
                <w:rFonts w:asciiTheme="majorBidi" w:hAnsiTheme="majorBidi" w:cstheme="majorBidi"/>
                <w:sz w:val="20"/>
                <w:szCs w:val="20"/>
                <w:vertAlign w:val="superscript"/>
              </w:rPr>
              <w:t>**</w:t>
            </w:r>
          </w:p>
        </w:tc>
        <w:tc>
          <w:tcPr>
            <w:tcW w:w="657" w:type="dxa"/>
            <w:shd w:val="clear" w:color="auto" w:fill="auto"/>
            <w:noWrap/>
            <w:hideMark/>
          </w:tcPr>
          <w:p w14:paraId="1851F18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-.047</w:t>
            </w:r>
            <w:r w:rsidRPr="00DD7519">
              <w:rPr>
                <w:rFonts w:asciiTheme="majorBidi" w:hAnsiTheme="majorBidi" w:cstheme="majorBidi"/>
                <w:sz w:val="20"/>
                <w:szCs w:val="20"/>
                <w:vertAlign w:val="superscript"/>
              </w:rPr>
              <w:t>**</w:t>
            </w:r>
          </w:p>
        </w:tc>
        <w:tc>
          <w:tcPr>
            <w:tcW w:w="657" w:type="dxa"/>
            <w:shd w:val="clear" w:color="auto" w:fill="auto"/>
            <w:noWrap/>
            <w:hideMark/>
          </w:tcPr>
          <w:p w14:paraId="1AAC92B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0.02</w:t>
            </w:r>
          </w:p>
        </w:tc>
        <w:tc>
          <w:tcPr>
            <w:tcW w:w="658" w:type="dxa"/>
            <w:shd w:val="clear" w:color="auto" w:fill="auto"/>
            <w:noWrap/>
            <w:hideMark/>
          </w:tcPr>
          <w:p w14:paraId="6984CD1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7" w:type="dxa"/>
            <w:shd w:val="clear" w:color="auto" w:fill="auto"/>
            <w:noWrap/>
            <w:hideMark/>
          </w:tcPr>
          <w:p w14:paraId="26BDEDEA"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.197</w:t>
            </w:r>
            <w:r w:rsidRPr="00DD7519">
              <w:rPr>
                <w:rFonts w:asciiTheme="majorBidi" w:hAnsiTheme="majorBidi" w:cstheme="majorBidi"/>
                <w:sz w:val="20"/>
                <w:szCs w:val="20"/>
                <w:vertAlign w:val="superscript"/>
              </w:rPr>
              <w:t>**</w:t>
            </w:r>
          </w:p>
        </w:tc>
        <w:tc>
          <w:tcPr>
            <w:tcW w:w="657" w:type="dxa"/>
            <w:shd w:val="clear" w:color="auto" w:fill="auto"/>
            <w:noWrap/>
            <w:hideMark/>
          </w:tcPr>
          <w:p w14:paraId="5F5CE0B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.150</w:t>
            </w:r>
            <w:r w:rsidRPr="00DD7519">
              <w:rPr>
                <w:rFonts w:asciiTheme="majorBidi" w:hAnsiTheme="majorBidi" w:cstheme="majorBidi"/>
                <w:sz w:val="20"/>
                <w:szCs w:val="20"/>
                <w:vertAlign w:val="superscript"/>
              </w:rPr>
              <w:t>**</w:t>
            </w:r>
          </w:p>
        </w:tc>
        <w:tc>
          <w:tcPr>
            <w:tcW w:w="657" w:type="dxa"/>
            <w:shd w:val="clear" w:color="auto" w:fill="auto"/>
            <w:noWrap/>
            <w:hideMark/>
          </w:tcPr>
          <w:p w14:paraId="09254A2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-.032</w:t>
            </w:r>
            <w:r w:rsidRPr="00DD7519">
              <w:rPr>
                <w:rFonts w:asciiTheme="majorBidi" w:hAnsiTheme="majorBidi" w:cstheme="majorBidi"/>
                <w:sz w:val="20"/>
                <w:szCs w:val="20"/>
                <w:vertAlign w:val="superscript"/>
              </w:rPr>
              <w:t>**</w:t>
            </w:r>
          </w:p>
        </w:tc>
        <w:tc>
          <w:tcPr>
            <w:tcW w:w="658" w:type="dxa"/>
            <w:shd w:val="clear" w:color="auto" w:fill="auto"/>
            <w:noWrap/>
            <w:hideMark/>
          </w:tcPr>
          <w:p w14:paraId="769AC88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.162</w:t>
            </w:r>
            <w:r w:rsidRPr="00DD7519">
              <w:rPr>
                <w:rFonts w:asciiTheme="majorBidi" w:hAnsiTheme="majorBidi" w:cstheme="majorBidi"/>
                <w:sz w:val="20"/>
                <w:szCs w:val="20"/>
                <w:vertAlign w:val="superscript"/>
              </w:rPr>
              <w:t>**</w:t>
            </w:r>
          </w:p>
        </w:tc>
        <w:tc>
          <w:tcPr>
            <w:tcW w:w="657" w:type="dxa"/>
            <w:shd w:val="clear" w:color="auto" w:fill="auto"/>
            <w:noWrap/>
            <w:hideMark/>
          </w:tcPr>
          <w:p w14:paraId="2B0BE7B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.129</w:t>
            </w:r>
            <w:r w:rsidRPr="00DD7519">
              <w:rPr>
                <w:rFonts w:asciiTheme="majorBidi" w:hAnsiTheme="majorBidi" w:cstheme="majorBidi"/>
                <w:sz w:val="20"/>
                <w:szCs w:val="20"/>
                <w:vertAlign w:val="superscript"/>
              </w:rPr>
              <w:t>**</w:t>
            </w:r>
          </w:p>
        </w:tc>
        <w:tc>
          <w:tcPr>
            <w:tcW w:w="657" w:type="dxa"/>
            <w:shd w:val="clear" w:color="auto" w:fill="auto"/>
            <w:noWrap/>
            <w:hideMark/>
          </w:tcPr>
          <w:p w14:paraId="02C631E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.171</w:t>
            </w:r>
            <w:r w:rsidRPr="00DD7519">
              <w:rPr>
                <w:rFonts w:asciiTheme="majorBidi" w:hAnsiTheme="majorBidi" w:cstheme="majorBidi"/>
                <w:sz w:val="20"/>
                <w:szCs w:val="20"/>
                <w:vertAlign w:val="superscript"/>
              </w:rPr>
              <w:t>**</w:t>
            </w:r>
          </w:p>
        </w:tc>
        <w:tc>
          <w:tcPr>
            <w:tcW w:w="657" w:type="dxa"/>
            <w:shd w:val="clear" w:color="auto" w:fill="auto"/>
            <w:noWrap/>
            <w:hideMark/>
          </w:tcPr>
          <w:p w14:paraId="08742DA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.094</w:t>
            </w:r>
            <w:r w:rsidRPr="00DD7519">
              <w:rPr>
                <w:rFonts w:asciiTheme="majorBidi" w:hAnsiTheme="majorBidi" w:cstheme="majorBidi"/>
                <w:sz w:val="20"/>
                <w:szCs w:val="20"/>
                <w:vertAlign w:val="superscript"/>
              </w:rPr>
              <w:t>**</w:t>
            </w:r>
          </w:p>
        </w:tc>
        <w:tc>
          <w:tcPr>
            <w:tcW w:w="658" w:type="dxa"/>
            <w:shd w:val="clear" w:color="auto" w:fill="auto"/>
            <w:noWrap/>
            <w:hideMark/>
          </w:tcPr>
          <w:p w14:paraId="6C0819E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-.328</w:t>
            </w:r>
            <w:r w:rsidRPr="00DD7519">
              <w:rPr>
                <w:rFonts w:asciiTheme="majorBidi" w:hAnsiTheme="majorBidi" w:cstheme="majorBidi"/>
                <w:sz w:val="20"/>
                <w:szCs w:val="20"/>
                <w:vertAlign w:val="superscript"/>
              </w:rPr>
              <w:t>**</w:t>
            </w:r>
          </w:p>
        </w:tc>
        <w:tc>
          <w:tcPr>
            <w:tcW w:w="657" w:type="dxa"/>
            <w:shd w:val="clear" w:color="auto" w:fill="auto"/>
            <w:noWrap/>
            <w:hideMark/>
          </w:tcPr>
          <w:p w14:paraId="0DD60F7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.162</w:t>
            </w:r>
            <w:r w:rsidRPr="00DD7519">
              <w:rPr>
                <w:rFonts w:asciiTheme="majorBidi" w:hAnsiTheme="majorBidi" w:cstheme="majorBidi"/>
                <w:sz w:val="20"/>
                <w:szCs w:val="20"/>
                <w:vertAlign w:val="superscript"/>
              </w:rPr>
              <w:t>**</w:t>
            </w:r>
          </w:p>
        </w:tc>
        <w:tc>
          <w:tcPr>
            <w:tcW w:w="657" w:type="dxa"/>
            <w:shd w:val="clear" w:color="auto" w:fill="auto"/>
            <w:noWrap/>
            <w:hideMark/>
          </w:tcPr>
          <w:p w14:paraId="681C3C7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.040</w:t>
            </w:r>
            <w:r w:rsidRPr="00DD7519">
              <w:rPr>
                <w:rFonts w:asciiTheme="majorBidi" w:hAnsiTheme="majorBidi" w:cstheme="majorBidi"/>
                <w:sz w:val="20"/>
                <w:szCs w:val="20"/>
                <w:vertAlign w:val="superscript"/>
              </w:rPr>
              <w:t>**</w:t>
            </w:r>
          </w:p>
        </w:tc>
        <w:tc>
          <w:tcPr>
            <w:tcW w:w="658" w:type="dxa"/>
          </w:tcPr>
          <w:p w14:paraId="1E47B0B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.095</w:t>
            </w:r>
            <w:r w:rsidRPr="00DD7519">
              <w:rPr>
                <w:rFonts w:asciiTheme="majorBidi" w:hAnsiTheme="majorBidi" w:cstheme="majorBidi"/>
                <w:sz w:val="20"/>
                <w:szCs w:val="20"/>
                <w:vertAlign w:val="superscript"/>
              </w:rPr>
              <w:t>**</w:t>
            </w:r>
          </w:p>
        </w:tc>
        <w:tc>
          <w:tcPr>
            <w:tcW w:w="658" w:type="dxa"/>
            <w:shd w:val="clear" w:color="auto" w:fill="auto"/>
            <w:noWrap/>
            <w:hideMark/>
          </w:tcPr>
          <w:p w14:paraId="3F52308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.098</w:t>
            </w:r>
            <w:r w:rsidRPr="00DD7519">
              <w:rPr>
                <w:rFonts w:asciiTheme="majorBidi" w:hAnsiTheme="majorBidi" w:cstheme="majorBidi"/>
                <w:sz w:val="20"/>
                <w:szCs w:val="20"/>
                <w:vertAlign w:val="superscript"/>
              </w:rPr>
              <w:t>**</w:t>
            </w:r>
          </w:p>
        </w:tc>
        <w:tc>
          <w:tcPr>
            <w:tcW w:w="658" w:type="dxa"/>
          </w:tcPr>
          <w:p w14:paraId="4F1C3D5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0.01</w:t>
            </w:r>
          </w:p>
        </w:tc>
      </w:tr>
      <w:tr w:rsidR="00EA313E" w:rsidRPr="00E22546" w14:paraId="4F6D425F" w14:textId="77777777" w:rsidTr="00F42F0F">
        <w:tc>
          <w:tcPr>
            <w:tcW w:w="1968" w:type="dxa"/>
            <w:shd w:val="clear" w:color="auto" w:fill="auto"/>
            <w:noWrap/>
            <w:vAlign w:val="bottom"/>
            <w:hideMark/>
          </w:tcPr>
          <w:p w14:paraId="2F44B6BD"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Z-score</w:t>
            </w:r>
          </w:p>
        </w:tc>
        <w:tc>
          <w:tcPr>
            <w:tcW w:w="657" w:type="dxa"/>
            <w:shd w:val="clear" w:color="auto" w:fill="auto"/>
            <w:noWrap/>
            <w:hideMark/>
          </w:tcPr>
          <w:p w14:paraId="7A23325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7" w:type="dxa"/>
            <w:shd w:val="clear" w:color="auto" w:fill="auto"/>
            <w:noWrap/>
            <w:hideMark/>
          </w:tcPr>
          <w:p w14:paraId="33504BD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-.141</w:t>
            </w:r>
            <w:r w:rsidRPr="00DD7519">
              <w:rPr>
                <w:rFonts w:asciiTheme="majorBidi" w:hAnsiTheme="majorBidi" w:cstheme="majorBidi"/>
                <w:sz w:val="20"/>
                <w:szCs w:val="20"/>
                <w:vertAlign w:val="superscript"/>
              </w:rPr>
              <w:t>**</w:t>
            </w:r>
          </w:p>
        </w:tc>
        <w:tc>
          <w:tcPr>
            <w:tcW w:w="657" w:type="dxa"/>
            <w:shd w:val="clear" w:color="auto" w:fill="auto"/>
            <w:noWrap/>
            <w:hideMark/>
          </w:tcPr>
          <w:p w14:paraId="2A795A9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0.02</w:t>
            </w:r>
          </w:p>
        </w:tc>
        <w:tc>
          <w:tcPr>
            <w:tcW w:w="658" w:type="dxa"/>
            <w:shd w:val="clear" w:color="auto" w:fill="auto"/>
            <w:noWrap/>
            <w:hideMark/>
          </w:tcPr>
          <w:p w14:paraId="0C94CED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.197</w:t>
            </w:r>
            <w:r w:rsidRPr="00DD7519">
              <w:rPr>
                <w:rFonts w:asciiTheme="majorBidi" w:hAnsiTheme="majorBidi" w:cstheme="majorBidi"/>
                <w:sz w:val="20"/>
                <w:szCs w:val="20"/>
                <w:vertAlign w:val="superscript"/>
              </w:rPr>
              <w:t>**</w:t>
            </w:r>
          </w:p>
        </w:tc>
        <w:tc>
          <w:tcPr>
            <w:tcW w:w="657" w:type="dxa"/>
            <w:shd w:val="clear" w:color="auto" w:fill="auto"/>
            <w:noWrap/>
            <w:hideMark/>
          </w:tcPr>
          <w:p w14:paraId="43CEBC6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7" w:type="dxa"/>
            <w:shd w:val="clear" w:color="auto" w:fill="auto"/>
            <w:noWrap/>
            <w:hideMark/>
          </w:tcPr>
          <w:p w14:paraId="6D1DC5A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.059</w:t>
            </w:r>
            <w:r w:rsidRPr="00DD7519">
              <w:rPr>
                <w:rFonts w:asciiTheme="majorBidi" w:hAnsiTheme="majorBidi" w:cstheme="majorBidi"/>
                <w:sz w:val="20"/>
                <w:szCs w:val="20"/>
                <w:vertAlign w:val="superscript"/>
              </w:rPr>
              <w:t>**</w:t>
            </w:r>
          </w:p>
        </w:tc>
        <w:tc>
          <w:tcPr>
            <w:tcW w:w="657" w:type="dxa"/>
            <w:shd w:val="clear" w:color="auto" w:fill="auto"/>
            <w:noWrap/>
            <w:hideMark/>
          </w:tcPr>
          <w:p w14:paraId="2A339D0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8" w:type="dxa"/>
            <w:shd w:val="clear" w:color="auto" w:fill="auto"/>
            <w:noWrap/>
            <w:hideMark/>
          </w:tcPr>
          <w:p w14:paraId="191B48B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.057</w:t>
            </w:r>
            <w:r w:rsidRPr="00DD7519">
              <w:rPr>
                <w:rFonts w:asciiTheme="majorBidi" w:hAnsiTheme="majorBidi" w:cstheme="majorBidi"/>
                <w:sz w:val="20"/>
                <w:szCs w:val="20"/>
                <w:vertAlign w:val="superscript"/>
              </w:rPr>
              <w:t>**</w:t>
            </w:r>
          </w:p>
        </w:tc>
        <w:tc>
          <w:tcPr>
            <w:tcW w:w="657" w:type="dxa"/>
            <w:shd w:val="clear" w:color="auto" w:fill="auto"/>
            <w:noWrap/>
            <w:hideMark/>
          </w:tcPr>
          <w:p w14:paraId="46C273E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.040</w:t>
            </w:r>
            <w:r w:rsidRPr="00DD7519">
              <w:rPr>
                <w:rFonts w:asciiTheme="majorBidi" w:hAnsiTheme="majorBidi" w:cstheme="majorBidi"/>
                <w:sz w:val="20"/>
                <w:szCs w:val="20"/>
                <w:vertAlign w:val="superscript"/>
              </w:rPr>
              <w:t>**</w:t>
            </w:r>
          </w:p>
        </w:tc>
        <w:tc>
          <w:tcPr>
            <w:tcW w:w="657" w:type="dxa"/>
            <w:shd w:val="clear" w:color="auto" w:fill="auto"/>
            <w:noWrap/>
            <w:hideMark/>
          </w:tcPr>
          <w:p w14:paraId="2CE4EDF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.049</w:t>
            </w:r>
            <w:r w:rsidRPr="00DD7519">
              <w:rPr>
                <w:rFonts w:asciiTheme="majorBidi" w:hAnsiTheme="majorBidi" w:cstheme="majorBidi"/>
                <w:sz w:val="20"/>
                <w:szCs w:val="20"/>
                <w:vertAlign w:val="superscript"/>
              </w:rPr>
              <w:t>**</w:t>
            </w:r>
          </w:p>
        </w:tc>
        <w:tc>
          <w:tcPr>
            <w:tcW w:w="657" w:type="dxa"/>
            <w:shd w:val="clear" w:color="auto" w:fill="auto"/>
            <w:noWrap/>
            <w:hideMark/>
          </w:tcPr>
          <w:p w14:paraId="658AB58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.048</w:t>
            </w:r>
            <w:r w:rsidRPr="00DD7519">
              <w:rPr>
                <w:rFonts w:asciiTheme="majorBidi" w:hAnsiTheme="majorBidi" w:cstheme="majorBidi"/>
                <w:sz w:val="20"/>
                <w:szCs w:val="20"/>
                <w:vertAlign w:val="superscript"/>
              </w:rPr>
              <w:t>**</w:t>
            </w:r>
          </w:p>
        </w:tc>
        <w:tc>
          <w:tcPr>
            <w:tcW w:w="658" w:type="dxa"/>
            <w:shd w:val="clear" w:color="auto" w:fill="auto"/>
            <w:noWrap/>
            <w:hideMark/>
          </w:tcPr>
          <w:p w14:paraId="1564271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-.128</w:t>
            </w:r>
            <w:r w:rsidRPr="00DD7519">
              <w:rPr>
                <w:rFonts w:asciiTheme="majorBidi" w:hAnsiTheme="majorBidi" w:cstheme="majorBidi"/>
                <w:sz w:val="20"/>
                <w:szCs w:val="20"/>
                <w:vertAlign w:val="superscript"/>
              </w:rPr>
              <w:t>**</w:t>
            </w:r>
          </w:p>
        </w:tc>
        <w:tc>
          <w:tcPr>
            <w:tcW w:w="657" w:type="dxa"/>
            <w:shd w:val="clear" w:color="auto" w:fill="auto"/>
            <w:noWrap/>
            <w:hideMark/>
          </w:tcPr>
          <w:p w14:paraId="3E3B4AC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.081</w:t>
            </w:r>
            <w:r w:rsidRPr="00DD7519">
              <w:rPr>
                <w:rFonts w:asciiTheme="majorBidi" w:hAnsiTheme="majorBidi" w:cstheme="majorBidi"/>
                <w:sz w:val="20"/>
                <w:szCs w:val="20"/>
                <w:vertAlign w:val="superscript"/>
              </w:rPr>
              <w:t>**</w:t>
            </w:r>
          </w:p>
        </w:tc>
        <w:tc>
          <w:tcPr>
            <w:tcW w:w="657" w:type="dxa"/>
            <w:shd w:val="clear" w:color="auto" w:fill="auto"/>
            <w:noWrap/>
            <w:hideMark/>
          </w:tcPr>
          <w:p w14:paraId="03B1B14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0.00</w:t>
            </w:r>
          </w:p>
        </w:tc>
        <w:tc>
          <w:tcPr>
            <w:tcW w:w="658" w:type="dxa"/>
          </w:tcPr>
          <w:p w14:paraId="52EBC97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8" w:type="dxa"/>
            <w:shd w:val="clear" w:color="auto" w:fill="auto"/>
            <w:noWrap/>
            <w:hideMark/>
          </w:tcPr>
          <w:p w14:paraId="3A9CA2B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.037</w:t>
            </w:r>
            <w:r w:rsidRPr="00DD7519">
              <w:rPr>
                <w:rFonts w:asciiTheme="majorBidi" w:hAnsiTheme="majorBidi" w:cstheme="majorBidi"/>
                <w:sz w:val="20"/>
                <w:szCs w:val="20"/>
                <w:vertAlign w:val="superscript"/>
              </w:rPr>
              <w:t>**</w:t>
            </w:r>
          </w:p>
        </w:tc>
        <w:tc>
          <w:tcPr>
            <w:tcW w:w="658" w:type="dxa"/>
          </w:tcPr>
          <w:p w14:paraId="261A063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.915</w:t>
            </w:r>
            <w:r w:rsidRPr="00DD7519">
              <w:rPr>
                <w:rFonts w:asciiTheme="majorBidi" w:hAnsiTheme="majorBidi" w:cstheme="majorBidi"/>
                <w:sz w:val="20"/>
                <w:szCs w:val="20"/>
                <w:vertAlign w:val="superscript"/>
              </w:rPr>
              <w:t>**</w:t>
            </w:r>
          </w:p>
        </w:tc>
      </w:tr>
      <w:tr w:rsidR="00EA313E" w:rsidRPr="00E22546" w14:paraId="54F86FF9" w14:textId="77777777" w:rsidTr="00F42F0F">
        <w:tc>
          <w:tcPr>
            <w:tcW w:w="1968" w:type="dxa"/>
            <w:shd w:val="clear" w:color="auto" w:fill="auto"/>
            <w:noWrap/>
            <w:vAlign w:val="center"/>
            <w:hideMark/>
          </w:tcPr>
          <w:p w14:paraId="2D9820E9"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ESG Combined </w:t>
            </w:r>
          </w:p>
        </w:tc>
        <w:tc>
          <w:tcPr>
            <w:tcW w:w="657" w:type="dxa"/>
            <w:shd w:val="clear" w:color="auto" w:fill="auto"/>
            <w:noWrap/>
            <w:hideMark/>
          </w:tcPr>
          <w:p w14:paraId="403361C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.205</w:t>
            </w:r>
            <w:r w:rsidRPr="00DD7519">
              <w:rPr>
                <w:rFonts w:asciiTheme="majorBidi" w:hAnsiTheme="majorBidi" w:cstheme="majorBidi"/>
                <w:sz w:val="20"/>
                <w:szCs w:val="20"/>
                <w:vertAlign w:val="superscript"/>
              </w:rPr>
              <w:t>**</w:t>
            </w:r>
          </w:p>
        </w:tc>
        <w:tc>
          <w:tcPr>
            <w:tcW w:w="657" w:type="dxa"/>
            <w:shd w:val="clear" w:color="auto" w:fill="auto"/>
            <w:noWrap/>
            <w:hideMark/>
          </w:tcPr>
          <w:p w14:paraId="0E3B3F6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-.028</w:t>
            </w:r>
            <w:r w:rsidRPr="00DD7519">
              <w:rPr>
                <w:rFonts w:asciiTheme="majorBidi" w:hAnsiTheme="majorBidi" w:cstheme="majorBidi"/>
                <w:sz w:val="20"/>
                <w:szCs w:val="20"/>
                <w:vertAlign w:val="superscript"/>
              </w:rPr>
              <w:t>*</w:t>
            </w:r>
          </w:p>
        </w:tc>
        <w:tc>
          <w:tcPr>
            <w:tcW w:w="657" w:type="dxa"/>
            <w:shd w:val="clear" w:color="auto" w:fill="auto"/>
            <w:noWrap/>
            <w:hideMark/>
          </w:tcPr>
          <w:p w14:paraId="11FB1A2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-.111</w:t>
            </w:r>
            <w:r w:rsidRPr="00DD7519">
              <w:rPr>
                <w:rFonts w:asciiTheme="majorBidi" w:hAnsiTheme="majorBidi" w:cstheme="majorBidi"/>
                <w:sz w:val="20"/>
                <w:szCs w:val="20"/>
                <w:vertAlign w:val="superscript"/>
              </w:rPr>
              <w:t>**</w:t>
            </w:r>
          </w:p>
        </w:tc>
        <w:tc>
          <w:tcPr>
            <w:tcW w:w="658" w:type="dxa"/>
            <w:shd w:val="clear" w:color="auto" w:fill="auto"/>
            <w:noWrap/>
            <w:hideMark/>
          </w:tcPr>
          <w:p w14:paraId="6927CAB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.150</w:t>
            </w:r>
            <w:r w:rsidRPr="00DD7519">
              <w:rPr>
                <w:rFonts w:asciiTheme="majorBidi" w:hAnsiTheme="majorBidi" w:cstheme="majorBidi"/>
                <w:sz w:val="20"/>
                <w:szCs w:val="20"/>
                <w:vertAlign w:val="superscript"/>
              </w:rPr>
              <w:t>**</w:t>
            </w:r>
          </w:p>
        </w:tc>
        <w:tc>
          <w:tcPr>
            <w:tcW w:w="657" w:type="dxa"/>
            <w:shd w:val="clear" w:color="auto" w:fill="auto"/>
            <w:noWrap/>
            <w:hideMark/>
          </w:tcPr>
          <w:p w14:paraId="3698F2A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.059</w:t>
            </w:r>
            <w:r w:rsidRPr="00DD7519">
              <w:rPr>
                <w:rFonts w:asciiTheme="majorBidi" w:hAnsiTheme="majorBidi" w:cstheme="majorBidi"/>
                <w:sz w:val="20"/>
                <w:szCs w:val="20"/>
                <w:vertAlign w:val="superscript"/>
              </w:rPr>
              <w:t>**</w:t>
            </w:r>
          </w:p>
        </w:tc>
        <w:tc>
          <w:tcPr>
            <w:tcW w:w="657" w:type="dxa"/>
            <w:shd w:val="clear" w:color="auto" w:fill="auto"/>
            <w:noWrap/>
            <w:hideMark/>
          </w:tcPr>
          <w:p w14:paraId="24A1A32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7" w:type="dxa"/>
            <w:shd w:val="clear" w:color="auto" w:fill="auto"/>
            <w:noWrap/>
            <w:hideMark/>
          </w:tcPr>
          <w:p w14:paraId="67FD92C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.181</w:t>
            </w:r>
            <w:r w:rsidRPr="00DD7519">
              <w:rPr>
                <w:rFonts w:asciiTheme="majorBidi" w:hAnsiTheme="majorBidi" w:cstheme="majorBidi"/>
                <w:sz w:val="20"/>
                <w:szCs w:val="20"/>
                <w:vertAlign w:val="superscript"/>
              </w:rPr>
              <w:t>**</w:t>
            </w:r>
          </w:p>
        </w:tc>
        <w:tc>
          <w:tcPr>
            <w:tcW w:w="658" w:type="dxa"/>
            <w:shd w:val="clear" w:color="auto" w:fill="auto"/>
            <w:noWrap/>
            <w:hideMark/>
          </w:tcPr>
          <w:p w14:paraId="05F55E5A"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.794</w:t>
            </w:r>
            <w:r w:rsidRPr="00DD7519">
              <w:rPr>
                <w:rFonts w:asciiTheme="majorBidi" w:hAnsiTheme="majorBidi" w:cstheme="majorBidi"/>
                <w:sz w:val="20"/>
                <w:szCs w:val="20"/>
                <w:vertAlign w:val="superscript"/>
              </w:rPr>
              <w:t>**</w:t>
            </w:r>
          </w:p>
        </w:tc>
        <w:tc>
          <w:tcPr>
            <w:tcW w:w="657" w:type="dxa"/>
            <w:shd w:val="clear" w:color="auto" w:fill="auto"/>
            <w:noWrap/>
            <w:hideMark/>
          </w:tcPr>
          <w:p w14:paraId="313145B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.684</w:t>
            </w:r>
            <w:r w:rsidRPr="00DD7519">
              <w:rPr>
                <w:rFonts w:asciiTheme="majorBidi" w:hAnsiTheme="majorBidi" w:cstheme="majorBidi"/>
                <w:sz w:val="20"/>
                <w:szCs w:val="20"/>
                <w:vertAlign w:val="superscript"/>
              </w:rPr>
              <w:t>**</w:t>
            </w:r>
          </w:p>
        </w:tc>
        <w:tc>
          <w:tcPr>
            <w:tcW w:w="657" w:type="dxa"/>
            <w:shd w:val="clear" w:color="auto" w:fill="auto"/>
            <w:noWrap/>
            <w:hideMark/>
          </w:tcPr>
          <w:p w14:paraId="4A4B441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.711</w:t>
            </w:r>
            <w:r w:rsidRPr="00DD7519">
              <w:rPr>
                <w:rFonts w:asciiTheme="majorBidi" w:hAnsiTheme="majorBidi" w:cstheme="majorBidi"/>
                <w:sz w:val="20"/>
                <w:szCs w:val="20"/>
                <w:vertAlign w:val="superscript"/>
              </w:rPr>
              <w:t>**</w:t>
            </w:r>
          </w:p>
        </w:tc>
        <w:tc>
          <w:tcPr>
            <w:tcW w:w="657" w:type="dxa"/>
            <w:shd w:val="clear" w:color="auto" w:fill="auto"/>
            <w:noWrap/>
            <w:hideMark/>
          </w:tcPr>
          <w:p w14:paraId="4480B17A"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.579</w:t>
            </w:r>
            <w:r w:rsidRPr="00DD7519">
              <w:rPr>
                <w:rFonts w:asciiTheme="majorBidi" w:hAnsiTheme="majorBidi" w:cstheme="majorBidi"/>
                <w:sz w:val="20"/>
                <w:szCs w:val="20"/>
                <w:vertAlign w:val="superscript"/>
              </w:rPr>
              <w:t>**</w:t>
            </w:r>
          </w:p>
        </w:tc>
        <w:tc>
          <w:tcPr>
            <w:tcW w:w="658" w:type="dxa"/>
            <w:shd w:val="clear" w:color="auto" w:fill="auto"/>
            <w:noWrap/>
            <w:hideMark/>
          </w:tcPr>
          <w:p w14:paraId="18255DD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-.221</w:t>
            </w:r>
            <w:r w:rsidRPr="00DD7519">
              <w:rPr>
                <w:rFonts w:asciiTheme="majorBidi" w:hAnsiTheme="majorBidi" w:cstheme="majorBidi"/>
                <w:sz w:val="20"/>
                <w:szCs w:val="20"/>
                <w:vertAlign w:val="superscript"/>
              </w:rPr>
              <w:t>**</w:t>
            </w:r>
          </w:p>
        </w:tc>
        <w:tc>
          <w:tcPr>
            <w:tcW w:w="657" w:type="dxa"/>
            <w:shd w:val="clear" w:color="auto" w:fill="auto"/>
            <w:noWrap/>
            <w:hideMark/>
          </w:tcPr>
          <w:p w14:paraId="6C8E477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.140</w:t>
            </w:r>
            <w:r w:rsidRPr="00DD7519">
              <w:rPr>
                <w:rFonts w:asciiTheme="majorBidi" w:hAnsiTheme="majorBidi" w:cstheme="majorBidi"/>
                <w:sz w:val="20"/>
                <w:szCs w:val="20"/>
                <w:vertAlign w:val="superscript"/>
              </w:rPr>
              <w:t>**</w:t>
            </w:r>
          </w:p>
        </w:tc>
        <w:tc>
          <w:tcPr>
            <w:tcW w:w="657" w:type="dxa"/>
            <w:shd w:val="clear" w:color="auto" w:fill="auto"/>
            <w:noWrap/>
            <w:hideMark/>
          </w:tcPr>
          <w:p w14:paraId="29578C5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.074</w:t>
            </w:r>
            <w:r w:rsidRPr="00DD7519">
              <w:rPr>
                <w:rFonts w:asciiTheme="majorBidi" w:hAnsiTheme="majorBidi" w:cstheme="majorBidi"/>
                <w:sz w:val="20"/>
                <w:szCs w:val="20"/>
                <w:vertAlign w:val="superscript"/>
              </w:rPr>
              <w:t>**</w:t>
            </w:r>
          </w:p>
        </w:tc>
        <w:tc>
          <w:tcPr>
            <w:tcW w:w="658" w:type="dxa"/>
          </w:tcPr>
          <w:p w14:paraId="1EAF10B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.027</w:t>
            </w:r>
            <w:r w:rsidRPr="00DD7519">
              <w:rPr>
                <w:rFonts w:asciiTheme="majorBidi" w:hAnsiTheme="majorBidi" w:cstheme="majorBidi"/>
                <w:sz w:val="20"/>
                <w:szCs w:val="20"/>
                <w:vertAlign w:val="superscript"/>
              </w:rPr>
              <w:t>*</w:t>
            </w:r>
          </w:p>
        </w:tc>
        <w:tc>
          <w:tcPr>
            <w:tcW w:w="658" w:type="dxa"/>
            <w:shd w:val="clear" w:color="auto" w:fill="auto"/>
            <w:noWrap/>
            <w:hideMark/>
          </w:tcPr>
          <w:p w14:paraId="3D20F7A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.066</w:t>
            </w:r>
            <w:r w:rsidRPr="00DD7519">
              <w:rPr>
                <w:rFonts w:asciiTheme="majorBidi" w:hAnsiTheme="majorBidi" w:cstheme="majorBidi"/>
                <w:sz w:val="20"/>
                <w:szCs w:val="20"/>
                <w:vertAlign w:val="superscript"/>
              </w:rPr>
              <w:t>**</w:t>
            </w:r>
          </w:p>
        </w:tc>
        <w:tc>
          <w:tcPr>
            <w:tcW w:w="658" w:type="dxa"/>
          </w:tcPr>
          <w:p w14:paraId="34CA6E5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0.00</w:t>
            </w:r>
          </w:p>
        </w:tc>
      </w:tr>
      <w:tr w:rsidR="00EA313E" w:rsidRPr="00E22546" w14:paraId="29700183" w14:textId="77777777" w:rsidTr="00F42F0F">
        <w:tc>
          <w:tcPr>
            <w:tcW w:w="1968" w:type="dxa"/>
            <w:shd w:val="clear" w:color="auto" w:fill="auto"/>
            <w:noWrap/>
            <w:vAlign w:val="center"/>
            <w:hideMark/>
          </w:tcPr>
          <w:p w14:paraId="59EC9845" w14:textId="77777777" w:rsidR="00EA313E" w:rsidRPr="00E22546" w:rsidRDefault="00EA313E" w:rsidP="00F42F0F">
            <w:pPr>
              <w:widowControl/>
              <w:autoSpaceDE/>
              <w:autoSpaceDN/>
              <w:ind w:right="-120"/>
              <w:rPr>
                <w:rFonts w:asciiTheme="majorBidi" w:hAnsiTheme="majorBidi" w:cstheme="majorBidi"/>
                <w14:ligatures w14:val="none"/>
              </w:rPr>
            </w:pPr>
            <w:r>
              <w:rPr>
                <w:color w:val="000000"/>
              </w:rPr>
              <w:t>ESG Controversies *</w:t>
            </w:r>
          </w:p>
        </w:tc>
        <w:tc>
          <w:tcPr>
            <w:tcW w:w="657" w:type="dxa"/>
            <w:shd w:val="clear" w:color="auto" w:fill="auto"/>
            <w:noWrap/>
            <w:hideMark/>
          </w:tcPr>
          <w:p w14:paraId="649A6FB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-.600</w:t>
            </w:r>
            <w:r w:rsidRPr="00DD7519">
              <w:rPr>
                <w:rFonts w:asciiTheme="majorBidi" w:hAnsiTheme="majorBidi" w:cstheme="majorBidi"/>
                <w:sz w:val="20"/>
                <w:szCs w:val="20"/>
                <w:vertAlign w:val="superscript"/>
              </w:rPr>
              <w:t>**</w:t>
            </w:r>
          </w:p>
        </w:tc>
        <w:tc>
          <w:tcPr>
            <w:tcW w:w="657" w:type="dxa"/>
            <w:shd w:val="clear" w:color="auto" w:fill="auto"/>
            <w:noWrap/>
            <w:hideMark/>
          </w:tcPr>
          <w:p w14:paraId="13BCF23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.072</w:t>
            </w:r>
            <w:r w:rsidRPr="00DD7519">
              <w:rPr>
                <w:rFonts w:asciiTheme="majorBidi" w:hAnsiTheme="majorBidi" w:cstheme="majorBidi"/>
                <w:sz w:val="20"/>
                <w:szCs w:val="20"/>
                <w:vertAlign w:val="superscript"/>
              </w:rPr>
              <w:t>**</w:t>
            </w:r>
          </w:p>
        </w:tc>
        <w:tc>
          <w:tcPr>
            <w:tcW w:w="657" w:type="dxa"/>
            <w:shd w:val="clear" w:color="auto" w:fill="auto"/>
            <w:noWrap/>
            <w:hideMark/>
          </w:tcPr>
          <w:p w14:paraId="52A3D71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0.02</w:t>
            </w:r>
          </w:p>
        </w:tc>
        <w:tc>
          <w:tcPr>
            <w:tcW w:w="658" w:type="dxa"/>
            <w:shd w:val="clear" w:color="auto" w:fill="auto"/>
            <w:noWrap/>
            <w:hideMark/>
          </w:tcPr>
          <w:p w14:paraId="727F0A9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-.032</w:t>
            </w:r>
            <w:r w:rsidRPr="00DD7519">
              <w:rPr>
                <w:rFonts w:asciiTheme="majorBidi" w:hAnsiTheme="majorBidi" w:cstheme="majorBidi"/>
                <w:sz w:val="20"/>
                <w:szCs w:val="20"/>
                <w:vertAlign w:val="superscript"/>
              </w:rPr>
              <w:t>**</w:t>
            </w:r>
          </w:p>
        </w:tc>
        <w:tc>
          <w:tcPr>
            <w:tcW w:w="657" w:type="dxa"/>
            <w:shd w:val="clear" w:color="auto" w:fill="auto"/>
            <w:noWrap/>
            <w:hideMark/>
          </w:tcPr>
          <w:p w14:paraId="0EC5DAB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7" w:type="dxa"/>
            <w:shd w:val="clear" w:color="auto" w:fill="auto"/>
            <w:noWrap/>
            <w:hideMark/>
          </w:tcPr>
          <w:p w14:paraId="57633C6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.181</w:t>
            </w:r>
            <w:r w:rsidRPr="00DD7519">
              <w:rPr>
                <w:rFonts w:asciiTheme="majorBidi" w:hAnsiTheme="majorBidi" w:cstheme="majorBidi"/>
                <w:sz w:val="20"/>
                <w:szCs w:val="20"/>
                <w:vertAlign w:val="superscript"/>
              </w:rPr>
              <w:t>**</w:t>
            </w:r>
          </w:p>
        </w:tc>
        <w:tc>
          <w:tcPr>
            <w:tcW w:w="657" w:type="dxa"/>
            <w:shd w:val="clear" w:color="auto" w:fill="auto"/>
            <w:noWrap/>
            <w:hideMark/>
          </w:tcPr>
          <w:p w14:paraId="1511D4B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8" w:type="dxa"/>
            <w:shd w:val="clear" w:color="auto" w:fill="auto"/>
            <w:noWrap/>
            <w:hideMark/>
          </w:tcPr>
          <w:p w14:paraId="6819AC3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-.394</w:t>
            </w:r>
            <w:r w:rsidRPr="00DD7519">
              <w:rPr>
                <w:rFonts w:asciiTheme="majorBidi" w:hAnsiTheme="majorBidi" w:cstheme="majorBidi"/>
                <w:sz w:val="20"/>
                <w:szCs w:val="20"/>
                <w:vertAlign w:val="superscript"/>
              </w:rPr>
              <w:t>**</w:t>
            </w:r>
          </w:p>
        </w:tc>
        <w:tc>
          <w:tcPr>
            <w:tcW w:w="657" w:type="dxa"/>
            <w:shd w:val="clear" w:color="auto" w:fill="auto"/>
            <w:noWrap/>
            <w:hideMark/>
          </w:tcPr>
          <w:p w14:paraId="3BF0CE5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-.396</w:t>
            </w:r>
            <w:r w:rsidRPr="00DD7519">
              <w:rPr>
                <w:rFonts w:asciiTheme="majorBidi" w:hAnsiTheme="majorBidi" w:cstheme="majorBidi"/>
                <w:sz w:val="20"/>
                <w:szCs w:val="20"/>
                <w:vertAlign w:val="superscript"/>
              </w:rPr>
              <w:t>**</w:t>
            </w:r>
          </w:p>
        </w:tc>
        <w:tc>
          <w:tcPr>
            <w:tcW w:w="657" w:type="dxa"/>
            <w:shd w:val="clear" w:color="auto" w:fill="auto"/>
            <w:noWrap/>
            <w:hideMark/>
          </w:tcPr>
          <w:p w14:paraId="2028ABF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-.388</w:t>
            </w:r>
            <w:r w:rsidRPr="00DD7519">
              <w:rPr>
                <w:rFonts w:asciiTheme="majorBidi" w:hAnsiTheme="majorBidi" w:cstheme="majorBidi"/>
                <w:sz w:val="20"/>
                <w:szCs w:val="20"/>
                <w:vertAlign w:val="superscript"/>
              </w:rPr>
              <w:t>**</w:t>
            </w:r>
          </w:p>
        </w:tc>
        <w:tc>
          <w:tcPr>
            <w:tcW w:w="657" w:type="dxa"/>
            <w:shd w:val="clear" w:color="auto" w:fill="auto"/>
            <w:noWrap/>
            <w:hideMark/>
          </w:tcPr>
          <w:p w14:paraId="5359B35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-.176</w:t>
            </w:r>
            <w:r w:rsidRPr="00DD7519">
              <w:rPr>
                <w:rFonts w:asciiTheme="majorBidi" w:hAnsiTheme="majorBidi" w:cstheme="majorBidi"/>
                <w:sz w:val="20"/>
                <w:szCs w:val="20"/>
                <w:vertAlign w:val="superscript"/>
              </w:rPr>
              <w:t>**</w:t>
            </w:r>
          </w:p>
        </w:tc>
        <w:tc>
          <w:tcPr>
            <w:tcW w:w="658" w:type="dxa"/>
            <w:shd w:val="clear" w:color="auto" w:fill="auto"/>
            <w:noWrap/>
            <w:hideMark/>
          </w:tcPr>
          <w:p w14:paraId="3342DD1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.169</w:t>
            </w:r>
            <w:r w:rsidRPr="00DD7519">
              <w:rPr>
                <w:rFonts w:asciiTheme="majorBidi" w:hAnsiTheme="majorBidi" w:cstheme="majorBidi"/>
                <w:sz w:val="20"/>
                <w:szCs w:val="20"/>
                <w:vertAlign w:val="superscript"/>
              </w:rPr>
              <w:t>**</w:t>
            </w:r>
          </w:p>
        </w:tc>
        <w:tc>
          <w:tcPr>
            <w:tcW w:w="657" w:type="dxa"/>
            <w:shd w:val="clear" w:color="auto" w:fill="auto"/>
            <w:noWrap/>
            <w:hideMark/>
          </w:tcPr>
          <w:p w14:paraId="2727865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-.277</w:t>
            </w:r>
            <w:r w:rsidRPr="00DD7519">
              <w:rPr>
                <w:rFonts w:asciiTheme="majorBidi" w:hAnsiTheme="majorBidi" w:cstheme="majorBidi"/>
                <w:sz w:val="20"/>
                <w:szCs w:val="20"/>
                <w:vertAlign w:val="superscript"/>
              </w:rPr>
              <w:t>**</w:t>
            </w:r>
          </w:p>
        </w:tc>
        <w:tc>
          <w:tcPr>
            <w:tcW w:w="657" w:type="dxa"/>
            <w:shd w:val="clear" w:color="auto" w:fill="auto"/>
            <w:noWrap/>
            <w:hideMark/>
          </w:tcPr>
          <w:p w14:paraId="3259245A"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-.057</w:t>
            </w:r>
            <w:r w:rsidRPr="00DD7519">
              <w:rPr>
                <w:rFonts w:asciiTheme="majorBidi" w:hAnsiTheme="majorBidi" w:cstheme="majorBidi"/>
                <w:sz w:val="20"/>
                <w:szCs w:val="20"/>
                <w:vertAlign w:val="superscript"/>
              </w:rPr>
              <w:t>**</w:t>
            </w:r>
          </w:p>
        </w:tc>
        <w:tc>
          <w:tcPr>
            <w:tcW w:w="658" w:type="dxa"/>
          </w:tcPr>
          <w:p w14:paraId="20D4506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-.059</w:t>
            </w:r>
            <w:r w:rsidRPr="00DD7519">
              <w:rPr>
                <w:rFonts w:asciiTheme="majorBidi" w:hAnsiTheme="majorBidi" w:cstheme="majorBidi"/>
                <w:sz w:val="20"/>
                <w:szCs w:val="20"/>
                <w:vertAlign w:val="superscript"/>
              </w:rPr>
              <w:t>**</w:t>
            </w:r>
          </w:p>
        </w:tc>
        <w:tc>
          <w:tcPr>
            <w:tcW w:w="658" w:type="dxa"/>
            <w:shd w:val="clear" w:color="auto" w:fill="auto"/>
            <w:noWrap/>
            <w:hideMark/>
          </w:tcPr>
          <w:p w14:paraId="0C1CA89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-.074</w:t>
            </w:r>
            <w:r w:rsidRPr="00DD7519">
              <w:rPr>
                <w:rFonts w:asciiTheme="majorBidi" w:hAnsiTheme="majorBidi" w:cstheme="majorBidi"/>
                <w:sz w:val="20"/>
                <w:szCs w:val="20"/>
                <w:vertAlign w:val="superscript"/>
              </w:rPr>
              <w:t>**</w:t>
            </w:r>
          </w:p>
        </w:tc>
        <w:tc>
          <w:tcPr>
            <w:tcW w:w="658" w:type="dxa"/>
          </w:tcPr>
          <w:p w14:paraId="427BFB9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.039</w:t>
            </w:r>
            <w:r w:rsidRPr="00DD7519">
              <w:rPr>
                <w:rFonts w:asciiTheme="majorBidi" w:hAnsiTheme="majorBidi" w:cstheme="majorBidi"/>
                <w:sz w:val="20"/>
                <w:szCs w:val="20"/>
                <w:vertAlign w:val="superscript"/>
              </w:rPr>
              <w:t>**</w:t>
            </w:r>
          </w:p>
        </w:tc>
      </w:tr>
      <w:tr w:rsidR="00EA313E" w:rsidRPr="00E22546" w14:paraId="3009CB89" w14:textId="77777777" w:rsidTr="00F42F0F">
        <w:tc>
          <w:tcPr>
            <w:tcW w:w="1968" w:type="dxa"/>
            <w:shd w:val="clear" w:color="auto" w:fill="auto"/>
            <w:noWrap/>
            <w:vAlign w:val="center"/>
            <w:hideMark/>
          </w:tcPr>
          <w:p w14:paraId="48F6CBC4"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ESG </w:t>
            </w:r>
          </w:p>
        </w:tc>
        <w:tc>
          <w:tcPr>
            <w:tcW w:w="657" w:type="dxa"/>
            <w:shd w:val="clear" w:color="auto" w:fill="auto"/>
            <w:noWrap/>
            <w:hideMark/>
          </w:tcPr>
          <w:p w14:paraId="3EF3FB7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.549</w:t>
            </w:r>
            <w:r w:rsidRPr="00DD7519">
              <w:rPr>
                <w:rFonts w:asciiTheme="majorBidi" w:hAnsiTheme="majorBidi" w:cstheme="majorBidi"/>
                <w:sz w:val="20"/>
                <w:szCs w:val="20"/>
                <w:vertAlign w:val="superscript"/>
              </w:rPr>
              <w:t>**</w:t>
            </w:r>
          </w:p>
        </w:tc>
        <w:tc>
          <w:tcPr>
            <w:tcW w:w="657" w:type="dxa"/>
            <w:shd w:val="clear" w:color="auto" w:fill="auto"/>
            <w:noWrap/>
            <w:hideMark/>
          </w:tcPr>
          <w:p w14:paraId="3103C9B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-.076</w:t>
            </w:r>
            <w:r w:rsidRPr="00DD7519">
              <w:rPr>
                <w:rFonts w:asciiTheme="majorBidi" w:hAnsiTheme="majorBidi" w:cstheme="majorBidi"/>
                <w:sz w:val="20"/>
                <w:szCs w:val="20"/>
                <w:vertAlign w:val="superscript"/>
              </w:rPr>
              <w:t>**</w:t>
            </w:r>
          </w:p>
        </w:tc>
        <w:tc>
          <w:tcPr>
            <w:tcW w:w="657" w:type="dxa"/>
            <w:shd w:val="clear" w:color="auto" w:fill="auto"/>
            <w:noWrap/>
            <w:hideMark/>
          </w:tcPr>
          <w:p w14:paraId="795E737A"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-.126</w:t>
            </w:r>
            <w:r w:rsidRPr="00DD7519">
              <w:rPr>
                <w:rFonts w:asciiTheme="majorBidi" w:hAnsiTheme="majorBidi" w:cstheme="majorBidi"/>
                <w:sz w:val="20"/>
                <w:szCs w:val="20"/>
                <w:vertAlign w:val="superscript"/>
              </w:rPr>
              <w:t>**</w:t>
            </w:r>
          </w:p>
        </w:tc>
        <w:tc>
          <w:tcPr>
            <w:tcW w:w="658" w:type="dxa"/>
            <w:shd w:val="clear" w:color="auto" w:fill="auto"/>
            <w:noWrap/>
            <w:hideMark/>
          </w:tcPr>
          <w:p w14:paraId="3781152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.162</w:t>
            </w:r>
            <w:r w:rsidRPr="00DD7519">
              <w:rPr>
                <w:rFonts w:asciiTheme="majorBidi" w:hAnsiTheme="majorBidi" w:cstheme="majorBidi"/>
                <w:sz w:val="20"/>
                <w:szCs w:val="20"/>
                <w:vertAlign w:val="superscript"/>
              </w:rPr>
              <w:t>**</w:t>
            </w:r>
          </w:p>
        </w:tc>
        <w:tc>
          <w:tcPr>
            <w:tcW w:w="657" w:type="dxa"/>
            <w:shd w:val="clear" w:color="auto" w:fill="auto"/>
            <w:noWrap/>
            <w:hideMark/>
          </w:tcPr>
          <w:p w14:paraId="6E14EFC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.057</w:t>
            </w:r>
            <w:r w:rsidRPr="00DD7519">
              <w:rPr>
                <w:rFonts w:asciiTheme="majorBidi" w:hAnsiTheme="majorBidi" w:cstheme="majorBidi"/>
                <w:sz w:val="20"/>
                <w:szCs w:val="20"/>
                <w:vertAlign w:val="superscript"/>
              </w:rPr>
              <w:t>**</w:t>
            </w:r>
          </w:p>
        </w:tc>
        <w:tc>
          <w:tcPr>
            <w:tcW w:w="657" w:type="dxa"/>
            <w:shd w:val="clear" w:color="auto" w:fill="auto"/>
            <w:noWrap/>
            <w:hideMark/>
          </w:tcPr>
          <w:p w14:paraId="344070A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.794</w:t>
            </w:r>
            <w:r w:rsidRPr="00DD7519">
              <w:rPr>
                <w:rFonts w:asciiTheme="majorBidi" w:hAnsiTheme="majorBidi" w:cstheme="majorBidi"/>
                <w:sz w:val="20"/>
                <w:szCs w:val="20"/>
                <w:vertAlign w:val="superscript"/>
              </w:rPr>
              <w:t>**</w:t>
            </w:r>
          </w:p>
        </w:tc>
        <w:tc>
          <w:tcPr>
            <w:tcW w:w="657" w:type="dxa"/>
            <w:shd w:val="clear" w:color="auto" w:fill="auto"/>
            <w:noWrap/>
            <w:hideMark/>
          </w:tcPr>
          <w:p w14:paraId="272D8C5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-.394</w:t>
            </w:r>
            <w:r w:rsidRPr="00DD7519">
              <w:rPr>
                <w:rFonts w:asciiTheme="majorBidi" w:hAnsiTheme="majorBidi" w:cstheme="majorBidi"/>
                <w:sz w:val="20"/>
                <w:szCs w:val="20"/>
                <w:vertAlign w:val="superscript"/>
              </w:rPr>
              <w:t>**</w:t>
            </w:r>
          </w:p>
        </w:tc>
        <w:tc>
          <w:tcPr>
            <w:tcW w:w="658" w:type="dxa"/>
            <w:shd w:val="clear" w:color="auto" w:fill="auto"/>
            <w:noWrap/>
            <w:hideMark/>
          </w:tcPr>
          <w:p w14:paraId="196E5DE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7" w:type="dxa"/>
            <w:shd w:val="clear" w:color="auto" w:fill="auto"/>
            <w:noWrap/>
            <w:hideMark/>
          </w:tcPr>
          <w:p w14:paraId="3A15D89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.886</w:t>
            </w:r>
            <w:r w:rsidRPr="00DD7519">
              <w:rPr>
                <w:rFonts w:asciiTheme="majorBidi" w:hAnsiTheme="majorBidi" w:cstheme="majorBidi"/>
                <w:sz w:val="20"/>
                <w:szCs w:val="20"/>
                <w:vertAlign w:val="superscript"/>
              </w:rPr>
              <w:t>**</w:t>
            </w:r>
          </w:p>
        </w:tc>
        <w:tc>
          <w:tcPr>
            <w:tcW w:w="657" w:type="dxa"/>
            <w:shd w:val="clear" w:color="auto" w:fill="auto"/>
            <w:noWrap/>
            <w:hideMark/>
          </w:tcPr>
          <w:p w14:paraId="7321DE2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.912</w:t>
            </w:r>
            <w:r w:rsidRPr="00DD7519">
              <w:rPr>
                <w:rFonts w:asciiTheme="majorBidi" w:hAnsiTheme="majorBidi" w:cstheme="majorBidi"/>
                <w:sz w:val="20"/>
                <w:szCs w:val="20"/>
                <w:vertAlign w:val="superscript"/>
              </w:rPr>
              <w:t>**</w:t>
            </w:r>
          </w:p>
        </w:tc>
        <w:tc>
          <w:tcPr>
            <w:tcW w:w="657" w:type="dxa"/>
            <w:shd w:val="clear" w:color="auto" w:fill="auto"/>
            <w:noWrap/>
            <w:hideMark/>
          </w:tcPr>
          <w:p w14:paraId="7553A5A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.675</w:t>
            </w:r>
            <w:r w:rsidRPr="00DD7519">
              <w:rPr>
                <w:rFonts w:asciiTheme="majorBidi" w:hAnsiTheme="majorBidi" w:cstheme="majorBidi"/>
                <w:sz w:val="20"/>
                <w:szCs w:val="20"/>
                <w:vertAlign w:val="superscript"/>
              </w:rPr>
              <w:t>**</w:t>
            </w:r>
          </w:p>
        </w:tc>
        <w:tc>
          <w:tcPr>
            <w:tcW w:w="658" w:type="dxa"/>
            <w:shd w:val="clear" w:color="auto" w:fill="auto"/>
            <w:noWrap/>
            <w:hideMark/>
          </w:tcPr>
          <w:p w14:paraId="2507CA4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-.316</w:t>
            </w:r>
            <w:r w:rsidRPr="00DD7519">
              <w:rPr>
                <w:rFonts w:asciiTheme="majorBidi" w:hAnsiTheme="majorBidi" w:cstheme="majorBidi"/>
                <w:sz w:val="20"/>
                <w:szCs w:val="20"/>
                <w:vertAlign w:val="superscript"/>
              </w:rPr>
              <w:t>**</w:t>
            </w:r>
          </w:p>
        </w:tc>
        <w:tc>
          <w:tcPr>
            <w:tcW w:w="657" w:type="dxa"/>
            <w:shd w:val="clear" w:color="auto" w:fill="auto"/>
            <w:noWrap/>
            <w:hideMark/>
          </w:tcPr>
          <w:p w14:paraId="36E78C9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.313</w:t>
            </w:r>
            <w:r w:rsidRPr="00DD7519">
              <w:rPr>
                <w:rFonts w:asciiTheme="majorBidi" w:hAnsiTheme="majorBidi" w:cstheme="majorBidi"/>
                <w:sz w:val="20"/>
                <w:szCs w:val="20"/>
                <w:vertAlign w:val="superscript"/>
              </w:rPr>
              <w:t>**</w:t>
            </w:r>
          </w:p>
        </w:tc>
        <w:tc>
          <w:tcPr>
            <w:tcW w:w="657" w:type="dxa"/>
            <w:shd w:val="clear" w:color="auto" w:fill="auto"/>
            <w:noWrap/>
            <w:hideMark/>
          </w:tcPr>
          <w:p w14:paraId="6C0A2AD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.104</w:t>
            </w:r>
            <w:r w:rsidRPr="00DD7519">
              <w:rPr>
                <w:rFonts w:asciiTheme="majorBidi" w:hAnsiTheme="majorBidi" w:cstheme="majorBidi"/>
                <w:sz w:val="20"/>
                <w:szCs w:val="20"/>
                <w:vertAlign w:val="superscript"/>
              </w:rPr>
              <w:t>**</w:t>
            </w:r>
          </w:p>
        </w:tc>
        <w:tc>
          <w:tcPr>
            <w:tcW w:w="658" w:type="dxa"/>
          </w:tcPr>
          <w:p w14:paraId="5D196E3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.063</w:t>
            </w:r>
            <w:r w:rsidRPr="00DD7519">
              <w:rPr>
                <w:rFonts w:asciiTheme="majorBidi" w:hAnsiTheme="majorBidi" w:cstheme="majorBidi"/>
                <w:sz w:val="20"/>
                <w:szCs w:val="20"/>
                <w:vertAlign w:val="superscript"/>
              </w:rPr>
              <w:t>**</w:t>
            </w:r>
          </w:p>
        </w:tc>
        <w:tc>
          <w:tcPr>
            <w:tcW w:w="658" w:type="dxa"/>
            <w:shd w:val="clear" w:color="auto" w:fill="auto"/>
            <w:noWrap/>
            <w:hideMark/>
          </w:tcPr>
          <w:p w14:paraId="33A6092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.117</w:t>
            </w:r>
            <w:r w:rsidRPr="00DD7519">
              <w:rPr>
                <w:rFonts w:asciiTheme="majorBidi" w:hAnsiTheme="majorBidi" w:cstheme="majorBidi"/>
                <w:sz w:val="20"/>
                <w:szCs w:val="20"/>
                <w:vertAlign w:val="superscript"/>
              </w:rPr>
              <w:t>**</w:t>
            </w:r>
          </w:p>
        </w:tc>
        <w:tc>
          <w:tcPr>
            <w:tcW w:w="658" w:type="dxa"/>
          </w:tcPr>
          <w:p w14:paraId="03BACAF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-0.02</w:t>
            </w:r>
          </w:p>
        </w:tc>
      </w:tr>
      <w:tr w:rsidR="00EA313E" w:rsidRPr="00E22546" w14:paraId="7651C419" w14:textId="77777777" w:rsidTr="00F42F0F">
        <w:tc>
          <w:tcPr>
            <w:tcW w:w="1968" w:type="dxa"/>
            <w:shd w:val="clear" w:color="auto" w:fill="auto"/>
            <w:noWrap/>
            <w:vAlign w:val="center"/>
            <w:hideMark/>
          </w:tcPr>
          <w:p w14:paraId="02D22422"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Environment Pillar </w:t>
            </w:r>
          </w:p>
        </w:tc>
        <w:tc>
          <w:tcPr>
            <w:tcW w:w="657" w:type="dxa"/>
            <w:shd w:val="clear" w:color="auto" w:fill="auto"/>
            <w:noWrap/>
            <w:hideMark/>
          </w:tcPr>
          <w:p w14:paraId="52C0EC4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.556</w:t>
            </w:r>
            <w:r w:rsidRPr="00DD7519">
              <w:rPr>
                <w:rFonts w:asciiTheme="majorBidi" w:hAnsiTheme="majorBidi" w:cstheme="majorBidi"/>
                <w:sz w:val="20"/>
                <w:szCs w:val="20"/>
                <w:vertAlign w:val="superscript"/>
              </w:rPr>
              <w:t>**</w:t>
            </w:r>
          </w:p>
        </w:tc>
        <w:tc>
          <w:tcPr>
            <w:tcW w:w="657" w:type="dxa"/>
            <w:shd w:val="clear" w:color="auto" w:fill="auto"/>
            <w:noWrap/>
            <w:hideMark/>
          </w:tcPr>
          <w:p w14:paraId="4E34C43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-.080</w:t>
            </w:r>
            <w:r w:rsidRPr="00DD7519">
              <w:rPr>
                <w:rFonts w:asciiTheme="majorBidi" w:hAnsiTheme="majorBidi" w:cstheme="majorBidi"/>
                <w:sz w:val="20"/>
                <w:szCs w:val="20"/>
                <w:vertAlign w:val="superscript"/>
              </w:rPr>
              <w:t>**</w:t>
            </w:r>
          </w:p>
        </w:tc>
        <w:tc>
          <w:tcPr>
            <w:tcW w:w="657" w:type="dxa"/>
            <w:shd w:val="clear" w:color="auto" w:fill="auto"/>
            <w:noWrap/>
            <w:hideMark/>
          </w:tcPr>
          <w:p w14:paraId="59588F2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-.085</w:t>
            </w:r>
            <w:r w:rsidRPr="00DD7519">
              <w:rPr>
                <w:rFonts w:asciiTheme="majorBidi" w:hAnsiTheme="majorBidi" w:cstheme="majorBidi"/>
                <w:sz w:val="20"/>
                <w:szCs w:val="20"/>
                <w:vertAlign w:val="superscript"/>
              </w:rPr>
              <w:t>**</w:t>
            </w:r>
          </w:p>
        </w:tc>
        <w:tc>
          <w:tcPr>
            <w:tcW w:w="658" w:type="dxa"/>
            <w:shd w:val="clear" w:color="auto" w:fill="auto"/>
            <w:noWrap/>
            <w:hideMark/>
          </w:tcPr>
          <w:p w14:paraId="3579B4B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.129</w:t>
            </w:r>
            <w:r w:rsidRPr="00DD7519">
              <w:rPr>
                <w:rFonts w:asciiTheme="majorBidi" w:hAnsiTheme="majorBidi" w:cstheme="majorBidi"/>
                <w:sz w:val="20"/>
                <w:szCs w:val="20"/>
                <w:vertAlign w:val="superscript"/>
              </w:rPr>
              <w:t>**</w:t>
            </w:r>
          </w:p>
        </w:tc>
        <w:tc>
          <w:tcPr>
            <w:tcW w:w="657" w:type="dxa"/>
            <w:shd w:val="clear" w:color="auto" w:fill="auto"/>
            <w:noWrap/>
            <w:hideMark/>
          </w:tcPr>
          <w:p w14:paraId="1915FA7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.040</w:t>
            </w:r>
            <w:r w:rsidRPr="00DD7519">
              <w:rPr>
                <w:rFonts w:asciiTheme="majorBidi" w:hAnsiTheme="majorBidi" w:cstheme="majorBidi"/>
                <w:sz w:val="20"/>
                <w:szCs w:val="20"/>
                <w:vertAlign w:val="superscript"/>
              </w:rPr>
              <w:t>**</w:t>
            </w:r>
          </w:p>
        </w:tc>
        <w:tc>
          <w:tcPr>
            <w:tcW w:w="657" w:type="dxa"/>
            <w:shd w:val="clear" w:color="auto" w:fill="auto"/>
            <w:noWrap/>
            <w:hideMark/>
          </w:tcPr>
          <w:p w14:paraId="7B366CF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.684</w:t>
            </w:r>
            <w:r w:rsidRPr="00DD7519">
              <w:rPr>
                <w:rFonts w:asciiTheme="majorBidi" w:hAnsiTheme="majorBidi" w:cstheme="majorBidi"/>
                <w:sz w:val="20"/>
                <w:szCs w:val="20"/>
                <w:vertAlign w:val="superscript"/>
              </w:rPr>
              <w:t>**</w:t>
            </w:r>
          </w:p>
        </w:tc>
        <w:tc>
          <w:tcPr>
            <w:tcW w:w="657" w:type="dxa"/>
            <w:shd w:val="clear" w:color="auto" w:fill="auto"/>
            <w:noWrap/>
            <w:hideMark/>
          </w:tcPr>
          <w:p w14:paraId="720003D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-.396</w:t>
            </w:r>
            <w:r w:rsidRPr="00DD7519">
              <w:rPr>
                <w:rFonts w:asciiTheme="majorBidi" w:hAnsiTheme="majorBidi" w:cstheme="majorBidi"/>
                <w:sz w:val="20"/>
                <w:szCs w:val="20"/>
                <w:vertAlign w:val="superscript"/>
              </w:rPr>
              <w:t>**</w:t>
            </w:r>
          </w:p>
        </w:tc>
        <w:tc>
          <w:tcPr>
            <w:tcW w:w="658" w:type="dxa"/>
            <w:shd w:val="clear" w:color="auto" w:fill="auto"/>
            <w:noWrap/>
            <w:hideMark/>
          </w:tcPr>
          <w:p w14:paraId="05A1537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.886</w:t>
            </w:r>
            <w:r w:rsidRPr="00DD7519">
              <w:rPr>
                <w:rFonts w:asciiTheme="majorBidi" w:hAnsiTheme="majorBidi" w:cstheme="majorBidi"/>
                <w:sz w:val="20"/>
                <w:szCs w:val="20"/>
                <w:vertAlign w:val="superscript"/>
              </w:rPr>
              <w:t>**</w:t>
            </w:r>
          </w:p>
        </w:tc>
        <w:tc>
          <w:tcPr>
            <w:tcW w:w="657" w:type="dxa"/>
            <w:shd w:val="clear" w:color="auto" w:fill="auto"/>
            <w:noWrap/>
            <w:hideMark/>
          </w:tcPr>
          <w:p w14:paraId="190B9A6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7" w:type="dxa"/>
            <w:shd w:val="clear" w:color="auto" w:fill="auto"/>
            <w:noWrap/>
            <w:hideMark/>
          </w:tcPr>
          <w:p w14:paraId="6D30292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.789</w:t>
            </w:r>
            <w:r w:rsidRPr="00DD7519">
              <w:rPr>
                <w:rFonts w:asciiTheme="majorBidi" w:hAnsiTheme="majorBidi" w:cstheme="majorBidi"/>
                <w:sz w:val="20"/>
                <w:szCs w:val="20"/>
                <w:vertAlign w:val="superscript"/>
              </w:rPr>
              <w:t>**</w:t>
            </w:r>
          </w:p>
        </w:tc>
        <w:tc>
          <w:tcPr>
            <w:tcW w:w="657" w:type="dxa"/>
            <w:shd w:val="clear" w:color="auto" w:fill="auto"/>
            <w:noWrap/>
            <w:hideMark/>
          </w:tcPr>
          <w:p w14:paraId="6BA7AA0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.417</w:t>
            </w:r>
            <w:r w:rsidRPr="00DD7519">
              <w:rPr>
                <w:rFonts w:asciiTheme="majorBidi" w:hAnsiTheme="majorBidi" w:cstheme="majorBidi"/>
                <w:sz w:val="20"/>
                <w:szCs w:val="20"/>
                <w:vertAlign w:val="superscript"/>
              </w:rPr>
              <w:t>**</w:t>
            </w:r>
          </w:p>
        </w:tc>
        <w:tc>
          <w:tcPr>
            <w:tcW w:w="658" w:type="dxa"/>
            <w:shd w:val="clear" w:color="auto" w:fill="auto"/>
            <w:noWrap/>
            <w:hideMark/>
          </w:tcPr>
          <w:p w14:paraId="1A3318A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-.288</w:t>
            </w:r>
            <w:r w:rsidRPr="00DD7519">
              <w:rPr>
                <w:rFonts w:asciiTheme="majorBidi" w:hAnsiTheme="majorBidi" w:cstheme="majorBidi"/>
                <w:sz w:val="20"/>
                <w:szCs w:val="20"/>
                <w:vertAlign w:val="superscript"/>
              </w:rPr>
              <w:t>**</w:t>
            </w:r>
          </w:p>
        </w:tc>
        <w:tc>
          <w:tcPr>
            <w:tcW w:w="657" w:type="dxa"/>
            <w:shd w:val="clear" w:color="auto" w:fill="auto"/>
            <w:noWrap/>
            <w:hideMark/>
          </w:tcPr>
          <w:p w14:paraId="3544879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.330</w:t>
            </w:r>
            <w:r w:rsidRPr="00DD7519">
              <w:rPr>
                <w:rFonts w:asciiTheme="majorBidi" w:hAnsiTheme="majorBidi" w:cstheme="majorBidi"/>
                <w:sz w:val="20"/>
                <w:szCs w:val="20"/>
                <w:vertAlign w:val="superscript"/>
              </w:rPr>
              <w:t>**</w:t>
            </w:r>
          </w:p>
        </w:tc>
        <w:tc>
          <w:tcPr>
            <w:tcW w:w="657" w:type="dxa"/>
            <w:shd w:val="clear" w:color="auto" w:fill="auto"/>
            <w:noWrap/>
            <w:hideMark/>
          </w:tcPr>
          <w:p w14:paraId="21139BE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.094</w:t>
            </w:r>
            <w:r w:rsidRPr="00DD7519">
              <w:rPr>
                <w:rFonts w:asciiTheme="majorBidi" w:hAnsiTheme="majorBidi" w:cstheme="majorBidi"/>
                <w:sz w:val="20"/>
                <w:szCs w:val="20"/>
                <w:vertAlign w:val="superscript"/>
              </w:rPr>
              <w:t>**</w:t>
            </w:r>
          </w:p>
        </w:tc>
        <w:tc>
          <w:tcPr>
            <w:tcW w:w="658" w:type="dxa"/>
          </w:tcPr>
          <w:p w14:paraId="0850CF2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.081</w:t>
            </w:r>
            <w:r w:rsidRPr="00DD7519">
              <w:rPr>
                <w:rFonts w:asciiTheme="majorBidi" w:hAnsiTheme="majorBidi" w:cstheme="majorBidi"/>
                <w:sz w:val="20"/>
                <w:szCs w:val="20"/>
                <w:vertAlign w:val="superscript"/>
              </w:rPr>
              <w:t>**</w:t>
            </w:r>
          </w:p>
        </w:tc>
        <w:tc>
          <w:tcPr>
            <w:tcW w:w="658" w:type="dxa"/>
            <w:shd w:val="clear" w:color="auto" w:fill="auto"/>
            <w:noWrap/>
            <w:hideMark/>
          </w:tcPr>
          <w:p w14:paraId="1F27C3A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.127</w:t>
            </w:r>
            <w:r w:rsidRPr="00DD7519">
              <w:rPr>
                <w:rFonts w:asciiTheme="majorBidi" w:hAnsiTheme="majorBidi" w:cstheme="majorBidi"/>
                <w:sz w:val="20"/>
                <w:szCs w:val="20"/>
                <w:vertAlign w:val="superscript"/>
              </w:rPr>
              <w:t>**</w:t>
            </w:r>
          </w:p>
        </w:tc>
        <w:tc>
          <w:tcPr>
            <w:tcW w:w="658" w:type="dxa"/>
          </w:tcPr>
          <w:p w14:paraId="538A28F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-.030</w:t>
            </w:r>
            <w:r w:rsidRPr="00DD7519">
              <w:rPr>
                <w:rFonts w:asciiTheme="majorBidi" w:hAnsiTheme="majorBidi" w:cstheme="majorBidi"/>
                <w:sz w:val="20"/>
                <w:szCs w:val="20"/>
                <w:vertAlign w:val="superscript"/>
              </w:rPr>
              <w:t>*</w:t>
            </w:r>
          </w:p>
        </w:tc>
      </w:tr>
      <w:tr w:rsidR="00EA313E" w:rsidRPr="00E22546" w14:paraId="70385B62" w14:textId="77777777" w:rsidTr="00F42F0F">
        <w:tc>
          <w:tcPr>
            <w:tcW w:w="1968" w:type="dxa"/>
            <w:shd w:val="clear" w:color="auto" w:fill="auto"/>
            <w:noWrap/>
            <w:vAlign w:val="center"/>
            <w:hideMark/>
          </w:tcPr>
          <w:p w14:paraId="39DCDA69"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Social Pillar </w:t>
            </w:r>
          </w:p>
        </w:tc>
        <w:tc>
          <w:tcPr>
            <w:tcW w:w="657" w:type="dxa"/>
            <w:shd w:val="clear" w:color="auto" w:fill="auto"/>
            <w:noWrap/>
            <w:hideMark/>
          </w:tcPr>
          <w:p w14:paraId="68B3B43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.530</w:t>
            </w:r>
            <w:r w:rsidRPr="00DD7519">
              <w:rPr>
                <w:rFonts w:asciiTheme="majorBidi" w:hAnsiTheme="majorBidi" w:cstheme="majorBidi"/>
                <w:sz w:val="20"/>
                <w:szCs w:val="20"/>
                <w:vertAlign w:val="superscript"/>
              </w:rPr>
              <w:t>**</w:t>
            </w:r>
          </w:p>
        </w:tc>
        <w:tc>
          <w:tcPr>
            <w:tcW w:w="657" w:type="dxa"/>
            <w:shd w:val="clear" w:color="auto" w:fill="auto"/>
            <w:noWrap/>
            <w:hideMark/>
          </w:tcPr>
          <w:p w14:paraId="5115025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-.048</w:t>
            </w:r>
            <w:r w:rsidRPr="00DD7519">
              <w:rPr>
                <w:rFonts w:asciiTheme="majorBidi" w:hAnsiTheme="majorBidi" w:cstheme="majorBidi"/>
                <w:sz w:val="20"/>
                <w:szCs w:val="20"/>
                <w:vertAlign w:val="superscript"/>
              </w:rPr>
              <w:t>**</w:t>
            </w:r>
          </w:p>
        </w:tc>
        <w:tc>
          <w:tcPr>
            <w:tcW w:w="657" w:type="dxa"/>
            <w:shd w:val="clear" w:color="auto" w:fill="auto"/>
            <w:noWrap/>
            <w:hideMark/>
          </w:tcPr>
          <w:p w14:paraId="2E086A9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-.122</w:t>
            </w:r>
            <w:r w:rsidRPr="00DD7519">
              <w:rPr>
                <w:rFonts w:asciiTheme="majorBidi" w:hAnsiTheme="majorBidi" w:cstheme="majorBidi"/>
                <w:sz w:val="20"/>
                <w:szCs w:val="20"/>
                <w:vertAlign w:val="superscript"/>
              </w:rPr>
              <w:t>**</w:t>
            </w:r>
          </w:p>
        </w:tc>
        <w:tc>
          <w:tcPr>
            <w:tcW w:w="658" w:type="dxa"/>
            <w:shd w:val="clear" w:color="auto" w:fill="auto"/>
            <w:noWrap/>
            <w:hideMark/>
          </w:tcPr>
          <w:p w14:paraId="13EE4DF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.171</w:t>
            </w:r>
            <w:r w:rsidRPr="00DD7519">
              <w:rPr>
                <w:rFonts w:asciiTheme="majorBidi" w:hAnsiTheme="majorBidi" w:cstheme="majorBidi"/>
                <w:sz w:val="20"/>
                <w:szCs w:val="20"/>
                <w:vertAlign w:val="superscript"/>
              </w:rPr>
              <w:t>**</w:t>
            </w:r>
          </w:p>
        </w:tc>
        <w:tc>
          <w:tcPr>
            <w:tcW w:w="657" w:type="dxa"/>
            <w:shd w:val="clear" w:color="auto" w:fill="auto"/>
            <w:noWrap/>
            <w:hideMark/>
          </w:tcPr>
          <w:p w14:paraId="3832DE0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.049</w:t>
            </w:r>
            <w:r w:rsidRPr="00DD7519">
              <w:rPr>
                <w:rFonts w:asciiTheme="majorBidi" w:hAnsiTheme="majorBidi" w:cstheme="majorBidi"/>
                <w:sz w:val="20"/>
                <w:szCs w:val="20"/>
                <w:vertAlign w:val="superscript"/>
              </w:rPr>
              <w:t>**</w:t>
            </w:r>
          </w:p>
        </w:tc>
        <w:tc>
          <w:tcPr>
            <w:tcW w:w="657" w:type="dxa"/>
            <w:shd w:val="clear" w:color="auto" w:fill="auto"/>
            <w:noWrap/>
            <w:hideMark/>
          </w:tcPr>
          <w:p w14:paraId="127C2A0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.711</w:t>
            </w:r>
            <w:r w:rsidRPr="00DD7519">
              <w:rPr>
                <w:rFonts w:asciiTheme="majorBidi" w:hAnsiTheme="majorBidi" w:cstheme="majorBidi"/>
                <w:sz w:val="20"/>
                <w:szCs w:val="20"/>
                <w:vertAlign w:val="superscript"/>
              </w:rPr>
              <w:t>**</w:t>
            </w:r>
          </w:p>
        </w:tc>
        <w:tc>
          <w:tcPr>
            <w:tcW w:w="657" w:type="dxa"/>
            <w:shd w:val="clear" w:color="auto" w:fill="auto"/>
            <w:noWrap/>
            <w:hideMark/>
          </w:tcPr>
          <w:p w14:paraId="4064271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-.388</w:t>
            </w:r>
            <w:r w:rsidRPr="00DD7519">
              <w:rPr>
                <w:rFonts w:asciiTheme="majorBidi" w:hAnsiTheme="majorBidi" w:cstheme="majorBidi"/>
                <w:sz w:val="20"/>
                <w:szCs w:val="20"/>
                <w:vertAlign w:val="superscript"/>
              </w:rPr>
              <w:t>**</w:t>
            </w:r>
          </w:p>
        </w:tc>
        <w:tc>
          <w:tcPr>
            <w:tcW w:w="658" w:type="dxa"/>
            <w:shd w:val="clear" w:color="auto" w:fill="auto"/>
            <w:noWrap/>
            <w:hideMark/>
          </w:tcPr>
          <w:p w14:paraId="5D3C056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.912</w:t>
            </w:r>
            <w:r w:rsidRPr="00DD7519">
              <w:rPr>
                <w:rFonts w:asciiTheme="majorBidi" w:hAnsiTheme="majorBidi" w:cstheme="majorBidi"/>
                <w:sz w:val="20"/>
                <w:szCs w:val="20"/>
                <w:vertAlign w:val="superscript"/>
              </w:rPr>
              <w:t>**</w:t>
            </w:r>
          </w:p>
        </w:tc>
        <w:tc>
          <w:tcPr>
            <w:tcW w:w="657" w:type="dxa"/>
            <w:shd w:val="clear" w:color="auto" w:fill="auto"/>
            <w:noWrap/>
            <w:hideMark/>
          </w:tcPr>
          <w:p w14:paraId="62A72F4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.789</w:t>
            </w:r>
            <w:r w:rsidRPr="00DD7519">
              <w:rPr>
                <w:rFonts w:asciiTheme="majorBidi" w:hAnsiTheme="majorBidi" w:cstheme="majorBidi"/>
                <w:sz w:val="20"/>
                <w:szCs w:val="20"/>
                <w:vertAlign w:val="superscript"/>
              </w:rPr>
              <w:t>**</w:t>
            </w:r>
          </w:p>
        </w:tc>
        <w:tc>
          <w:tcPr>
            <w:tcW w:w="657" w:type="dxa"/>
            <w:shd w:val="clear" w:color="auto" w:fill="auto"/>
            <w:noWrap/>
            <w:hideMark/>
          </w:tcPr>
          <w:p w14:paraId="42CDBD3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7" w:type="dxa"/>
            <w:shd w:val="clear" w:color="auto" w:fill="auto"/>
            <w:noWrap/>
            <w:hideMark/>
          </w:tcPr>
          <w:p w14:paraId="69E0BB9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.420</w:t>
            </w:r>
            <w:r w:rsidRPr="00DD7519">
              <w:rPr>
                <w:rFonts w:asciiTheme="majorBidi" w:hAnsiTheme="majorBidi" w:cstheme="majorBidi"/>
                <w:sz w:val="20"/>
                <w:szCs w:val="20"/>
                <w:vertAlign w:val="superscript"/>
              </w:rPr>
              <w:t>**</w:t>
            </w:r>
          </w:p>
        </w:tc>
        <w:tc>
          <w:tcPr>
            <w:tcW w:w="658" w:type="dxa"/>
            <w:shd w:val="clear" w:color="auto" w:fill="auto"/>
            <w:noWrap/>
            <w:hideMark/>
          </w:tcPr>
          <w:p w14:paraId="6D88D30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-.315</w:t>
            </w:r>
            <w:r w:rsidRPr="00DD7519">
              <w:rPr>
                <w:rFonts w:asciiTheme="majorBidi" w:hAnsiTheme="majorBidi" w:cstheme="majorBidi"/>
                <w:sz w:val="20"/>
                <w:szCs w:val="20"/>
                <w:vertAlign w:val="superscript"/>
              </w:rPr>
              <w:t>**</w:t>
            </w:r>
          </w:p>
        </w:tc>
        <w:tc>
          <w:tcPr>
            <w:tcW w:w="657" w:type="dxa"/>
            <w:shd w:val="clear" w:color="auto" w:fill="auto"/>
            <w:noWrap/>
            <w:hideMark/>
          </w:tcPr>
          <w:p w14:paraId="3514076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.304</w:t>
            </w:r>
            <w:r w:rsidRPr="00DD7519">
              <w:rPr>
                <w:rFonts w:asciiTheme="majorBidi" w:hAnsiTheme="majorBidi" w:cstheme="majorBidi"/>
                <w:sz w:val="20"/>
                <w:szCs w:val="20"/>
                <w:vertAlign w:val="superscript"/>
              </w:rPr>
              <w:t>**</w:t>
            </w:r>
          </w:p>
        </w:tc>
        <w:tc>
          <w:tcPr>
            <w:tcW w:w="657" w:type="dxa"/>
            <w:shd w:val="clear" w:color="auto" w:fill="auto"/>
            <w:noWrap/>
            <w:hideMark/>
          </w:tcPr>
          <w:p w14:paraId="5C6D219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.075</w:t>
            </w:r>
            <w:r w:rsidRPr="00DD7519">
              <w:rPr>
                <w:rFonts w:asciiTheme="majorBidi" w:hAnsiTheme="majorBidi" w:cstheme="majorBidi"/>
                <w:sz w:val="20"/>
                <w:szCs w:val="20"/>
                <w:vertAlign w:val="superscript"/>
              </w:rPr>
              <w:t>**</w:t>
            </w:r>
          </w:p>
        </w:tc>
        <w:tc>
          <w:tcPr>
            <w:tcW w:w="658" w:type="dxa"/>
          </w:tcPr>
          <w:p w14:paraId="61AE342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.063</w:t>
            </w:r>
            <w:r w:rsidRPr="00DD7519">
              <w:rPr>
                <w:rFonts w:asciiTheme="majorBidi" w:hAnsiTheme="majorBidi" w:cstheme="majorBidi"/>
                <w:sz w:val="20"/>
                <w:szCs w:val="20"/>
                <w:vertAlign w:val="superscript"/>
              </w:rPr>
              <w:t>**</w:t>
            </w:r>
          </w:p>
        </w:tc>
        <w:tc>
          <w:tcPr>
            <w:tcW w:w="658" w:type="dxa"/>
            <w:shd w:val="clear" w:color="auto" w:fill="auto"/>
            <w:noWrap/>
            <w:hideMark/>
          </w:tcPr>
          <w:p w14:paraId="7314CDD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.116</w:t>
            </w:r>
            <w:r w:rsidRPr="00DD7519">
              <w:rPr>
                <w:rFonts w:asciiTheme="majorBidi" w:hAnsiTheme="majorBidi" w:cstheme="majorBidi"/>
                <w:sz w:val="20"/>
                <w:szCs w:val="20"/>
                <w:vertAlign w:val="superscript"/>
              </w:rPr>
              <w:t>**</w:t>
            </w:r>
          </w:p>
        </w:tc>
        <w:tc>
          <w:tcPr>
            <w:tcW w:w="658" w:type="dxa"/>
          </w:tcPr>
          <w:p w14:paraId="002A422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-0.02</w:t>
            </w:r>
          </w:p>
        </w:tc>
      </w:tr>
      <w:tr w:rsidR="00EA313E" w:rsidRPr="00E22546" w14:paraId="70ADD02B" w14:textId="77777777" w:rsidTr="00F42F0F">
        <w:tc>
          <w:tcPr>
            <w:tcW w:w="1968" w:type="dxa"/>
            <w:shd w:val="clear" w:color="auto" w:fill="auto"/>
            <w:noWrap/>
            <w:vAlign w:val="center"/>
            <w:hideMark/>
          </w:tcPr>
          <w:p w14:paraId="3D16A58E"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Governance Pillar </w:t>
            </w:r>
          </w:p>
        </w:tc>
        <w:tc>
          <w:tcPr>
            <w:tcW w:w="657" w:type="dxa"/>
            <w:shd w:val="clear" w:color="auto" w:fill="auto"/>
            <w:noWrap/>
            <w:hideMark/>
          </w:tcPr>
          <w:p w14:paraId="28DA107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.270</w:t>
            </w:r>
            <w:r w:rsidRPr="00DD7519">
              <w:rPr>
                <w:rFonts w:asciiTheme="majorBidi" w:hAnsiTheme="majorBidi" w:cstheme="majorBidi"/>
                <w:sz w:val="20"/>
                <w:szCs w:val="20"/>
                <w:vertAlign w:val="superscript"/>
              </w:rPr>
              <w:t>**</w:t>
            </w:r>
          </w:p>
        </w:tc>
        <w:tc>
          <w:tcPr>
            <w:tcW w:w="657" w:type="dxa"/>
            <w:shd w:val="clear" w:color="auto" w:fill="auto"/>
            <w:noWrap/>
            <w:hideMark/>
          </w:tcPr>
          <w:p w14:paraId="50B6F4A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-.076</w:t>
            </w:r>
            <w:r w:rsidRPr="00DD7519">
              <w:rPr>
                <w:rFonts w:asciiTheme="majorBidi" w:hAnsiTheme="majorBidi" w:cstheme="majorBidi"/>
                <w:sz w:val="20"/>
                <w:szCs w:val="20"/>
                <w:vertAlign w:val="superscript"/>
              </w:rPr>
              <w:t>**</w:t>
            </w:r>
          </w:p>
        </w:tc>
        <w:tc>
          <w:tcPr>
            <w:tcW w:w="657" w:type="dxa"/>
            <w:shd w:val="clear" w:color="auto" w:fill="auto"/>
            <w:noWrap/>
            <w:hideMark/>
          </w:tcPr>
          <w:p w14:paraId="15D3BC4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-.096</w:t>
            </w:r>
            <w:r w:rsidRPr="00DD7519">
              <w:rPr>
                <w:rFonts w:asciiTheme="majorBidi" w:hAnsiTheme="majorBidi" w:cstheme="majorBidi"/>
                <w:sz w:val="20"/>
                <w:szCs w:val="20"/>
                <w:vertAlign w:val="superscript"/>
              </w:rPr>
              <w:t>**</w:t>
            </w:r>
          </w:p>
        </w:tc>
        <w:tc>
          <w:tcPr>
            <w:tcW w:w="658" w:type="dxa"/>
            <w:shd w:val="clear" w:color="auto" w:fill="auto"/>
            <w:noWrap/>
            <w:hideMark/>
          </w:tcPr>
          <w:p w14:paraId="76EB9A7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.094</w:t>
            </w:r>
            <w:r w:rsidRPr="00DD7519">
              <w:rPr>
                <w:rFonts w:asciiTheme="majorBidi" w:hAnsiTheme="majorBidi" w:cstheme="majorBidi"/>
                <w:sz w:val="20"/>
                <w:szCs w:val="20"/>
                <w:vertAlign w:val="superscript"/>
              </w:rPr>
              <w:t>**</w:t>
            </w:r>
          </w:p>
        </w:tc>
        <w:tc>
          <w:tcPr>
            <w:tcW w:w="657" w:type="dxa"/>
            <w:shd w:val="clear" w:color="auto" w:fill="auto"/>
            <w:noWrap/>
            <w:hideMark/>
          </w:tcPr>
          <w:p w14:paraId="4791551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.048</w:t>
            </w:r>
            <w:r w:rsidRPr="00DD7519">
              <w:rPr>
                <w:rFonts w:asciiTheme="majorBidi" w:hAnsiTheme="majorBidi" w:cstheme="majorBidi"/>
                <w:sz w:val="20"/>
                <w:szCs w:val="20"/>
                <w:vertAlign w:val="superscript"/>
              </w:rPr>
              <w:t>**</w:t>
            </w:r>
          </w:p>
        </w:tc>
        <w:tc>
          <w:tcPr>
            <w:tcW w:w="657" w:type="dxa"/>
            <w:shd w:val="clear" w:color="auto" w:fill="auto"/>
            <w:noWrap/>
            <w:hideMark/>
          </w:tcPr>
          <w:p w14:paraId="2D7A446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.579</w:t>
            </w:r>
            <w:r w:rsidRPr="00DD7519">
              <w:rPr>
                <w:rFonts w:asciiTheme="majorBidi" w:hAnsiTheme="majorBidi" w:cstheme="majorBidi"/>
                <w:sz w:val="20"/>
                <w:szCs w:val="20"/>
                <w:vertAlign w:val="superscript"/>
              </w:rPr>
              <w:t>**</w:t>
            </w:r>
          </w:p>
        </w:tc>
        <w:tc>
          <w:tcPr>
            <w:tcW w:w="657" w:type="dxa"/>
            <w:shd w:val="clear" w:color="auto" w:fill="auto"/>
            <w:noWrap/>
            <w:hideMark/>
          </w:tcPr>
          <w:p w14:paraId="469FC0B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-.176</w:t>
            </w:r>
            <w:r w:rsidRPr="00DD7519">
              <w:rPr>
                <w:rFonts w:asciiTheme="majorBidi" w:hAnsiTheme="majorBidi" w:cstheme="majorBidi"/>
                <w:sz w:val="20"/>
                <w:szCs w:val="20"/>
                <w:vertAlign w:val="superscript"/>
              </w:rPr>
              <w:t>**</w:t>
            </w:r>
          </w:p>
        </w:tc>
        <w:tc>
          <w:tcPr>
            <w:tcW w:w="658" w:type="dxa"/>
            <w:shd w:val="clear" w:color="auto" w:fill="auto"/>
            <w:noWrap/>
            <w:hideMark/>
          </w:tcPr>
          <w:p w14:paraId="79B22D3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.675</w:t>
            </w:r>
            <w:r w:rsidRPr="00DD7519">
              <w:rPr>
                <w:rFonts w:asciiTheme="majorBidi" w:hAnsiTheme="majorBidi" w:cstheme="majorBidi"/>
                <w:sz w:val="20"/>
                <w:szCs w:val="20"/>
                <w:vertAlign w:val="superscript"/>
              </w:rPr>
              <w:t>**</w:t>
            </w:r>
          </w:p>
        </w:tc>
        <w:tc>
          <w:tcPr>
            <w:tcW w:w="657" w:type="dxa"/>
            <w:shd w:val="clear" w:color="auto" w:fill="auto"/>
            <w:noWrap/>
            <w:hideMark/>
          </w:tcPr>
          <w:p w14:paraId="437E4C6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.417</w:t>
            </w:r>
            <w:r w:rsidRPr="00DD7519">
              <w:rPr>
                <w:rFonts w:asciiTheme="majorBidi" w:hAnsiTheme="majorBidi" w:cstheme="majorBidi"/>
                <w:sz w:val="20"/>
                <w:szCs w:val="20"/>
                <w:vertAlign w:val="superscript"/>
              </w:rPr>
              <w:t>**</w:t>
            </w:r>
          </w:p>
        </w:tc>
        <w:tc>
          <w:tcPr>
            <w:tcW w:w="657" w:type="dxa"/>
            <w:shd w:val="clear" w:color="auto" w:fill="auto"/>
            <w:noWrap/>
            <w:hideMark/>
          </w:tcPr>
          <w:p w14:paraId="5F471F0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.420</w:t>
            </w:r>
            <w:r w:rsidRPr="00DD7519">
              <w:rPr>
                <w:rFonts w:asciiTheme="majorBidi" w:hAnsiTheme="majorBidi" w:cstheme="majorBidi"/>
                <w:sz w:val="20"/>
                <w:szCs w:val="20"/>
                <w:vertAlign w:val="superscript"/>
              </w:rPr>
              <w:t>**</w:t>
            </w:r>
          </w:p>
        </w:tc>
        <w:tc>
          <w:tcPr>
            <w:tcW w:w="657" w:type="dxa"/>
            <w:shd w:val="clear" w:color="auto" w:fill="auto"/>
            <w:noWrap/>
            <w:hideMark/>
          </w:tcPr>
          <w:p w14:paraId="467F490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1.00</w:t>
            </w:r>
          </w:p>
        </w:tc>
        <w:tc>
          <w:tcPr>
            <w:tcW w:w="658" w:type="dxa"/>
            <w:shd w:val="clear" w:color="auto" w:fill="auto"/>
            <w:noWrap/>
            <w:hideMark/>
          </w:tcPr>
          <w:p w14:paraId="1C2195C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-.181</w:t>
            </w:r>
            <w:r w:rsidRPr="00DD7519">
              <w:rPr>
                <w:rFonts w:asciiTheme="majorBidi" w:hAnsiTheme="majorBidi" w:cstheme="majorBidi"/>
                <w:sz w:val="20"/>
                <w:szCs w:val="20"/>
                <w:vertAlign w:val="superscript"/>
              </w:rPr>
              <w:t>**</w:t>
            </w:r>
          </w:p>
        </w:tc>
        <w:tc>
          <w:tcPr>
            <w:tcW w:w="657" w:type="dxa"/>
            <w:shd w:val="clear" w:color="auto" w:fill="auto"/>
            <w:noWrap/>
            <w:hideMark/>
          </w:tcPr>
          <w:p w14:paraId="4F7C571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.141</w:t>
            </w:r>
            <w:r w:rsidRPr="00DD7519">
              <w:rPr>
                <w:rFonts w:asciiTheme="majorBidi" w:hAnsiTheme="majorBidi" w:cstheme="majorBidi"/>
                <w:sz w:val="20"/>
                <w:szCs w:val="20"/>
                <w:vertAlign w:val="superscript"/>
              </w:rPr>
              <w:t>**</w:t>
            </w:r>
          </w:p>
        </w:tc>
        <w:tc>
          <w:tcPr>
            <w:tcW w:w="657" w:type="dxa"/>
            <w:shd w:val="clear" w:color="auto" w:fill="auto"/>
            <w:noWrap/>
            <w:hideMark/>
          </w:tcPr>
          <w:p w14:paraId="702554E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.098</w:t>
            </w:r>
            <w:r w:rsidRPr="00DD7519">
              <w:rPr>
                <w:rFonts w:asciiTheme="majorBidi" w:hAnsiTheme="majorBidi" w:cstheme="majorBidi"/>
                <w:sz w:val="20"/>
                <w:szCs w:val="20"/>
                <w:vertAlign w:val="superscript"/>
              </w:rPr>
              <w:t>**</w:t>
            </w:r>
          </w:p>
        </w:tc>
        <w:tc>
          <w:tcPr>
            <w:tcW w:w="658" w:type="dxa"/>
          </w:tcPr>
          <w:p w14:paraId="6338374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0.00</w:t>
            </w:r>
          </w:p>
        </w:tc>
        <w:tc>
          <w:tcPr>
            <w:tcW w:w="658" w:type="dxa"/>
            <w:shd w:val="clear" w:color="auto" w:fill="auto"/>
            <w:noWrap/>
            <w:hideMark/>
          </w:tcPr>
          <w:p w14:paraId="7EAD92B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.036</w:t>
            </w:r>
            <w:r w:rsidRPr="00DD7519">
              <w:rPr>
                <w:rFonts w:asciiTheme="majorBidi" w:hAnsiTheme="majorBidi" w:cstheme="majorBidi"/>
                <w:sz w:val="20"/>
                <w:szCs w:val="20"/>
                <w:vertAlign w:val="superscript"/>
              </w:rPr>
              <w:t>**</w:t>
            </w:r>
          </w:p>
        </w:tc>
        <w:tc>
          <w:tcPr>
            <w:tcW w:w="658" w:type="dxa"/>
          </w:tcPr>
          <w:p w14:paraId="63E2038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rPr>
            </w:pPr>
            <w:r w:rsidRPr="00DD7519">
              <w:rPr>
                <w:rFonts w:asciiTheme="majorBidi" w:hAnsiTheme="majorBidi" w:cstheme="majorBidi"/>
                <w:sz w:val="20"/>
                <w:szCs w:val="20"/>
              </w:rPr>
              <w:t>-0.01</w:t>
            </w:r>
          </w:p>
        </w:tc>
      </w:tr>
      <w:tr w:rsidR="00EA313E" w:rsidRPr="00E22546" w14:paraId="545245E6" w14:textId="77777777" w:rsidTr="00F42F0F">
        <w:tc>
          <w:tcPr>
            <w:tcW w:w="1968" w:type="dxa"/>
            <w:shd w:val="clear" w:color="auto" w:fill="auto"/>
            <w:noWrap/>
            <w:vAlign w:val="center"/>
            <w:hideMark/>
          </w:tcPr>
          <w:p w14:paraId="5717ED11" w14:textId="77777777" w:rsidR="00EA313E" w:rsidRPr="00E22546" w:rsidRDefault="00EA313E" w:rsidP="00F42F0F">
            <w:pPr>
              <w:widowControl/>
              <w:autoSpaceDE/>
              <w:autoSpaceDN/>
              <w:rPr>
                <w:rFonts w:asciiTheme="majorBidi" w:hAnsiTheme="majorBidi" w:cstheme="majorBidi"/>
                <w14:ligatures w14:val="none"/>
              </w:rPr>
            </w:pPr>
            <w:r>
              <w:rPr>
                <w:rFonts w:asciiTheme="majorBidi" w:hAnsiTheme="majorBidi" w:cstheme="majorBidi"/>
                <w:sz w:val="24"/>
                <w:szCs w:val="24"/>
              </w:rPr>
              <w:t>Y</w:t>
            </w:r>
            <w:r w:rsidRPr="008B05A0">
              <w:rPr>
                <w:rFonts w:asciiTheme="majorBidi" w:hAnsiTheme="majorBidi" w:cstheme="majorBidi"/>
                <w:sz w:val="24"/>
                <w:szCs w:val="24"/>
              </w:rPr>
              <w:t>ield</w:t>
            </w:r>
            <w:r>
              <w:rPr>
                <w:color w:val="000000"/>
              </w:rPr>
              <w:t xml:space="preserve"> Spread</w:t>
            </w:r>
          </w:p>
        </w:tc>
        <w:tc>
          <w:tcPr>
            <w:tcW w:w="657" w:type="dxa"/>
            <w:shd w:val="clear" w:color="auto" w:fill="auto"/>
            <w:noWrap/>
            <w:hideMark/>
          </w:tcPr>
          <w:p w14:paraId="4BEE914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-.344</w:t>
            </w:r>
            <w:r w:rsidRPr="00DD7519">
              <w:rPr>
                <w:rFonts w:asciiTheme="majorBidi" w:hAnsiTheme="majorBidi" w:cstheme="majorBidi"/>
                <w:sz w:val="20"/>
                <w:szCs w:val="20"/>
                <w:vertAlign w:val="superscript"/>
              </w:rPr>
              <w:t>**</w:t>
            </w:r>
          </w:p>
        </w:tc>
        <w:tc>
          <w:tcPr>
            <w:tcW w:w="657" w:type="dxa"/>
            <w:shd w:val="clear" w:color="auto" w:fill="auto"/>
            <w:noWrap/>
            <w:hideMark/>
          </w:tcPr>
          <w:p w14:paraId="1A48EE9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.233</w:t>
            </w:r>
            <w:r w:rsidRPr="00DD7519">
              <w:rPr>
                <w:rFonts w:asciiTheme="majorBidi" w:hAnsiTheme="majorBidi" w:cstheme="majorBidi"/>
                <w:sz w:val="20"/>
                <w:szCs w:val="20"/>
                <w:vertAlign w:val="superscript"/>
              </w:rPr>
              <w:t>**</w:t>
            </w:r>
          </w:p>
        </w:tc>
        <w:tc>
          <w:tcPr>
            <w:tcW w:w="657" w:type="dxa"/>
            <w:shd w:val="clear" w:color="auto" w:fill="auto"/>
            <w:noWrap/>
            <w:hideMark/>
          </w:tcPr>
          <w:p w14:paraId="7AF5285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.082</w:t>
            </w:r>
            <w:r w:rsidRPr="00DD7519">
              <w:rPr>
                <w:rFonts w:asciiTheme="majorBidi" w:hAnsiTheme="majorBidi" w:cstheme="majorBidi"/>
                <w:sz w:val="20"/>
                <w:szCs w:val="20"/>
                <w:vertAlign w:val="superscript"/>
              </w:rPr>
              <w:t>**</w:t>
            </w:r>
          </w:p>
        </w:tc>
        <w:tc>
          <w:tcPr>
            <w:tcW w:w="658" w:type="dxa"/>
            <w:shd w:val="clear" w:color="auto" w:fill="auto"/>
            <w:noWrap/>
            <w:hideMark/>
          </w:tcPr>
          <w:p w14:paraId="2A19482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-.328</w:t>
            </w:r>
            <w:r w:rsidRPr="00DD7519">
              <w:rPr>
                <w:rFonts w:asciiTheme="majorBidi" w:hAnsiTheme="majorBidi" w:cstheme="majorBidi"/>
                <w:sz w:val="20"/>
                <w:szCs w:val="20"/>
                <w:vertAlign w:val="superscript"/>
              </w:rPr>
              <w:t>**</w:t>
            </w:r>
          </w:p>
        </w:tc>
        <w:tc>
          <w:tcPr>
            <w:tcW w:w="657" w:type="dxa"/>
            <w:shd w:val="clear" w:color="auto" w:fill="auto"/>
            <w:noWrap/>
            <w:hideMark/>
          </w:tcPr>
          <w:p w14:paraId="26F1E30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-.128</w:t>
            </w:r>
            <w:r w:rsidRPr="00DD7519">
              <w:rPr>
                <w:rFonts w:asciiTheme="majorBidi" w:hAnsiTheme="majorBidi" w:cstheme="majorBidi"/>
                <w:sz w:val="20"/>
                <w:szCs w:val="20"/>
                <w:vertAlign w:val="superscript"/>
              </w:rPr>
              <w:t>**</w:t>
            </w:r>
          </w:p>
        </w:tc>
        <w:tc>
          <w:tcPr>
            <w:tcW w:w="657" w:type="dxa"/>
            <w:shd w:val="clear" w:color="auto" w:fill="auto"/>
            <w:noWrap/>
            <w:hideMark/>
          </w:tcPr>
          <w:p w14:paraId="289E40E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-.221</w:t>
            </w:r>
            <w:r w:rsidRPr="00DD7519">
              <w:rPr>
                <w:rFonts w:asciiTheme="majorBidi" w:hAnsiTheme="majorBidi" w:cstheme="majorBidi"/>
                <w:sz w:val="20"/>
                <w:szCs w:val="20"/>
                <w:vertAlign w:val="superscript"/>
              </w:rPr>
              <w:t>**</w:t>
            </w:r>
          </w:p>
        </w:tc>
        <w:tc>
          <w:tcPr>
            <w:tcW w:w="657" w:type="dxa"/>
            <w:shd w:val="clear" w:color="auto" w:fill="auto"/>
            <w:noWrap/>
            <w:hideMark/>
          </w:tcPr>
          <w:p w14:paraId="5A2BD55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.169</w:t>
            </w:r>
            <w:r w:rsidRPr="00DD7519">
              <w:rPr>
                <w:rFonts w:asciiTheme="majorBidi" w:hAnsiTheme="majorBidi" w:cstheme="majorBidi"/>
                <w:sz w:val="20"/>
                <w:szCs w:val="20"/>
                <w:vertAlign w:val="superscript"/>
              </w:rPr>
              <w:t>**</w:t>
            </w:r>
          </w:p>
        </w:tc>
        <w:tc>
          <w:tcPr>
            <w:tcW w:w="658" w:type="dxa"/>
            <w:shd w:val="clear" w:color="auto" w:fill="auto"/>
            <w:noWrap/>
            <w:hideMark/>
          </w:tcPr>
          <w:p w14:paraId="5EA3A5F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-.316</w:t>
            </w:r>
            <w:r w:rsidRPr="00DD7519">
              <w:rPr>
                <w:rFonts w:asciiTheme="majorBidi" w:hAnsiTheme="majorBidi" w:cstheme="majorBidi"/>
                <w:sz w:val="20"/>
                <w:szCs w:val="20"/>
                <w:vertAlign w:val="superscript"/>
              </w:rPr>
              <w:t>**</w:t>
            </w:r>
          </w:p>
        </w:tc>
        <w:tc>
          <w:tcPr>
            <w:tcW w:w="657" w:type="dxa"/>
            <w:shd w:val="clear" w:color="auto" w:fill="auto"/>
            <w:noWrap/>
            <w:hideMark/>
          </w:tcPr>
          <w:p w14:paraId="47230C9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-.288</w:t>
            </w:r>
            <w:r w:rsidRPr="00DD7519">
              <w:rPr>
                <w:rFonts w:asciiTheme="majorBidi" w:hAnsiTheme="majorBidi" w:cstheme="majorBidi"/>
                <w:sz w:val="20"/>
                <w:szCs w:val="20"/>
                <w:vertAlign w:val="superscript"/>
              </w:rPr>
              <w:t>**</w:t>
            </w:r>
          </w:p>
        </w:tc>
        <w:tc>
          <w:tcPr>
            <w:tcW w:w="657" w:type="dxa"/>
            <w:shd w:val="clear" w:color="auto" w:fill="auto"/>
            <w:noWrap/>
            <w:hideMark/>
          </w:tcPr>
          <w:p w14:paraId="26A79DA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-.315</w:t>
            </w:r>
            <w:r w:rsidRPr="00DD7519">
              <w:rPr>
                <w:rFonts w:asciiTheme="majorBidi" w:hAnsiTheme="majorBidi" w:cstheme="majorBidi"/>
                <w:sz w:val="20"/>
                <w:szCs w:val="20"/>
                <w:vertAlign w:val="superscript"/>
              </w:rPr>
              <w:t>**</w:t>
            </w:r>
          </w:p>
        </w:tc>
        <w:tc>
          <w:tcPr>
            <w:tcW w:w="657" w:type="dxa"/>
            <w:shd w:val="clear" w:color="auto" w:fill="auto"/>
            <w:noWrap/>
            <w:hideMark/>
          </w:tcPr>
          <w:p w14:paraId="075704F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-.181</w:t>
            </w:r>
            <w:r w:rsidRPr="00DD7519">
              <w:rPr>
                <w:rFonts w:asciiTheme="majorBidi" w:hAnsiTheme="majorBidi" w:cstheme="majorBidi"/>
                <w:sz w:val="20"/>
                <w:szCs w:val="20"/>
                <w:vertAlign w:val="superscript"/>
              </w:rPr>
              <w:t>**</w:t>
            </w:r>
          </w:p>
        </w:tc>
        <w:tc>
          <w:tcPr>
            <w:tcW w:w="658" w:type="dxa"/>
            <w:shd w:val="clear" w:color="auto" w:fill="auto"/>
            <w:noWrap/>
            <w:hideMark/>
          </w:tcPr>
          <w:p w14:paraId="3066BC5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1.00</w:t>
            </w:r>
          </w:p>
        </w:tc>
        <w:tc>
          <w:tcPr>
            <w:tcW w:w="657" w:type="dxa"/>
            <w:shd w:val="clear" w:color="auto" w:fill="auto"/>
            <w:noWrap/>
            <w:hideMark/>
          </w:tcPr>
          <w:p w14:paraId="7054476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-.256</w:t>
            </w:r>
            <w:r w:rsidRPr="00DD7519">
              <w:rPr>
                <w:rFonts w:asciiTheme="majorBidi" w:hAnsiTheme="majorBidi" w:cstheme="majorBidi"/>
                <w:sz w:val="20"/>
                <w:szCs w:val="20"/>
                <w:vertAlign w:val="superscript"/>
              </w:rPr>
              <w:t>**</w:t>
            </w:r>
          </w:p>
        </w:tc>
        <w:tc>
          <w:tcPr>
            <w:tcW w:w="657" w:type="dxa"/>
            <w:shd w:val="clear" w:color="auto" w:fill="auto"/>
            <w:noWrap/>
            <w:hideMark/>
          </w:tcPr>
          <w:p w14:paraId="6C44D0B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-.049</w:t>
            </w:r>
            <w:r w:rsidRPr="00DD7519">
              <w:rPr>
                <w:rFonts w:asciiTheme="majorBidi" w:hAnsiTheme="majorBidi" w:cstheme="majorBidi"/>
                <w:sz w:val="20"/>
                <w:szCs w:val="20"/>
                <w:vertAlign w:val="superscript"/>
              </w:rPr>
              <w:t>**</w:t>
            </w:r>
          </w:p>
        </w:tc>
        <w:tc>
          <w:tcPr>
            <w:tcW w:w="658" w:type="dxa"/>
          </w:tcPr>
          <w:p w14:paraId="2707548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.160</w:t>
            </w:r>
            <w:r w:rsidRPr="00DD7519">
              <w:rPr>
                <w:rFonts w:asciiTheme="majorBidi" w:hAnsiTheme="majorBidi" w:cstheme="majorBidi"/>
                <w:sz w:val="20"/>
                <w:szCs w:val="20"/>
                <w:vertAlign w:val="superscript"/>
              </w:rPr>
              <w:t>**</w:t>
            </w:r>
          </w:p>
        </w:tc>
        <w:tc>
          <w:tcPr>
            <w:tcW w:w="658" w:type="dxa"/>
            <w:shd w:val="clear" w:color="auto" w:fill="auto"/>
            <w:noWrap/>
            <w:hideMark/>
          </w:tcPr>
          <w:p w14:paraId="5F43398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-.106</w:t>
            </w:r>
            <w:r w:rsidRPr="00DD7519">
              <w:rPr>
                <w:rFonts w:asciiTheme="majorBidi" w:hAnsiTheme="majorBidi" w:cstheme="majorBidi"/>
                <w:sz w:val="20"/>
                <w:szCs w:val="20"/>
                <w:vertAlign w:val="superscript"/>
              </w:rPr>
              <w:t>**</w:t>
            </w:r>
          </w:p>
        </w:tc>
        <w:tc>
          <w:tcPr>
            <w:tcW w:w="658" w:type="dxa"/>
          </w:tcPr>
          <w:p w14:paraId="3102D28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rPr>
            </w:pPr>
            <w:r w:rsidRPr="00DD7519">
              <w:rPr>
                <w:rFonts w:asciiTheme="majorBidi" w:hAnsiTheme="majorBidi" w:cstheme="majorBidi"/>
                <w:sz w:val="20"/>
                <w:szCs w:val="20"/>
              </w:rPr>
              <w:t>-0.01</w:t>
            </w:r>
          </w:p>
        </w:tc>
      </w:tr>
      <w:tr w:rsidR="00EA313E" w:rsidRPr="00E22546" w14:paraId="6647F9A8" w14:textId="77777777" w:rsidTr="00F42F0F">
        <w:tc>
          <w:tcPr>
            <w:tcW w:w="1968" w:type="dxa"/>
            <w:shd w:val="clear" w:color="auto" w:fill="auto"/>
            <w:noWrap/>
            <w:vAlign w:val="center"/>
            <w:hideMark/>
          </w:tcPr>
          <w:p w14:paraId="73507ABE" w14:textId="77777777" w:rsidR="00EA313E" w:rsidRPr="00E22546" w:rsidRDefault="00EA313E" w:rsidP="00F42F0F">
            <w:pPr>
              <w:widowControl/>
              <w:autoSpaceDE/>
              <w:autoSpaceDN/>
              <w:rPr>
                <w:rFonts w:asciiTheme="majorBidi" w:hAnsiTheme="majorBidi" w:cstheme="majorBidi"/>
                <w14:ligatures w14:val="none"/>
              </w:rPr>
            </w:pPr>
            <w:r>
              <w:rPr>
                <w:color w:val="000000"/>
              </w:rPr>
              <w:t xml:space="preserve">Moody's Rating </w:t>
            </w:r>
          </w:p>
        </w:tc>
        <w:tc>
          <w:tcPr>
            <w:tcW w:w="657" w:type="dxa"/>
            <w:shd w:val="clear" w:color="auto" w:fill="auto"/>
            <w:noWrap/>
            <w:hideMark/>
          </w:tcPr>
          <w:p w14:paraId="7181C45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.378</w:t>
            </w:r>
            <w:r w:rsidRPr="00DD7519">
              <w:rPr>
                <w:rFonts w:asciiTheme="majorBidi" w:hAnsiTheme="majorBidi" w:cstheme="majorBidi"/>
                <w:sz w:val="20"/>
                <w:szCs w:val="20"/>
                <w:vertAlign w:val="superscript"/>
              </w:rPr>
              <w:t>**</w:t>
            </w:r>
          </w:p>
        </w:tc>
        <w:tc>
          <w:tcPr>
            <w:tcW w:w="657" w:type="dxa"/>
            <w:shd w:val="clear" w:color="auto" w:fill="auto"/>
            <w:noWrap/>
            <w:hideMark/>
          </w:tcPr>
          <w:p w14:paraId="1A55CDB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-.145</w:t>
            </w:r>
            <w:r w:rsidRPr="00DD7519">
              <w:rPr>
                <w:rFonts w:asciiTheme="majorBidi" w:hAnsiTheme="majorBidi" w:cstheme="majorBidi"/>
                <w:sz w:val="20"/>
                <w:szCs w:val="20"/>
                <w:vertAlign w:val="superscript"/>
              </w:rPr>
              <w:t>**</w:t>
            </w:r>
          </w:p>
        </w:tc>
        <w:tc>
          <w:tcPr>
            <w:tcW w:w="657" w:type="dxa"/>
            <w:shd w:val="clear" w:color="auto" w:fill="auto"/>
            <w:noWrap/>
            <w:hideMark/>
          </w:tcPr>
          <w:p w14:paraId="68C1C16A"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.094</w:t>
            </w:r>
            <w:r w:rsidRPr="00DD7519">
              <w:rPr>
                <w:rFonts w:asciiTheme="majorBidi" w:hAnsiTheme="majorBidi" w:cstheme="majorBidi"/>
                <w:sz w:val="20"/>
                <w:szCs w:val="20"/>
                <w:vertAlign w:val="superscript"/>
              </w:rPr>
              <w:t>**</w:t>
            </w:r>
          </w:p>
        </w:tc>
        <w:tc>
          <w:tcPr>
            <w:tcW w:w="658" w:type="dxa"/>
            <w:shd w:val="clear" w:color="auto" w:fill="auto"/>
            <w:noWrap/>
            <w:hideMark/>
          </w:tcPr>
          <w:p w14:paraId="6C25FAD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.162</w:t>
            </w:r>
            <w:r w:rsidRPr="00DD7519">
              <w:rPr>
                <w:rFonts w:asciiTheme="majorBidi" w:hAnsiTheme="majorBidi" w:cstheme="majorBidi"/>
                <w:sz w:val="20"/>
                <w:szCs w:val="20"/>
                <w:vertAlign w:val="superscript"/>
              </w:rPr>
              <w:t>**</w:t>
            </w:r>
          </w:p>
        </w:tc>
        <w:tc>
          <w:tcPr>
            <w:tcW w:w="657" w:type="dxa"/>
            <w:shd w:val="clear" w:color="auto" w:fill="auto"/>
            <w:noWrap/>
            <w:hideMark/>
          </w:tcPr>
          <w:p w14:paraId="0814E33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.081</w:t>
            </w:r>
            <w:r w:rsidRPr="00DD7519">
              <w:rPr>
                <w:rFonts w:asciiTheme="majorBidi" w:hAnsiTheme="majorBidi" w:cstheme="majorBidi"/>
                <w:sz w:val="20"/>
                <w:szCs w:val="20"/>
                <w:vertAlign w:val="superscript"/>
              </w:rPr>
              <w:t>**</w:t>
            </w:r>
          </w:p>
        </w:tc>
        <w:tc>
          <w:tcPr>
            <w:tcW w:w="657" w:type="dxa"/>
            <w:shd w:val="clear" w:color="auto" w:fill="auto"/>
            <w:noWrap/>
            <w:hideMark/>
          </w:tcPr>
          <w:p w14:paraId="245CCDF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.140</w:t>
            </w:r>
            <w:r w:rsidRPr="00DD7519">
              <w:rPr>
                <w:rFonts w:asciiTheme="majorBidi" w:hAnsiTheme="majorBidi" w:cstheme="majorBidi"/>
                <w:sz w:val="20"/>
                <w:szCs w:val="20"/>
                <w:vertAlign w:val="superscript"/>
              </w:rPr>
              <w:t>**</w:t>
            </w:r>
          </w:p>
        </w:tc>
        <w:tc>
          <w:tcPr>
            <w:tcW w:w="657" w:type="dxa"/>
            <w:shd w:val="clear" w:color="auto" w:fill="auto"/>
            <w:noWrap/>
            <w:hideMark/>
          </w:tcPr>
          <w:p w14:paraId="1755ECD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-.277</w:t>
            </w:r>
            <w:r w:rsidRPr="00DD7519">
              <w:rPr>
                <w:rFonts w:asciiTheme="majorBidi" w:hAnsiTheme="majorBidi" w:cstheme="majorBidi"/>
                <w:sz w:val="20"/>
                <w:szCs w:val="20"/>
                <w:vertAlign w:val="superscript"/>
              </w:rPr>
              <w:t>**</w:t>
            </w:r>
          </w:p>
        </w:tc>
        <w:tc>
          <w:tcPr>
            <w:tcW w:w="658" w:type="dxa"/>
            <w:shd w:val="clear" w:color="auto" w:fill="auto"/>
            <w:noWrap/>
            <w:hideMark/>
          </w:tcPr>
          <w:p w14:paraId="566C073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.313</w:t>
            </w:r>
            <w:r w:rsidRPr="00DD7519">
              <w:rPr>
                <w:rFonts w:asciiTheme="majorBidi" w:hAnsiTheme="majorBidi" w:cstheme="majorBidi"/>
                <w:sz w:val="20"/>
                <w:szCs w:val="20"/>
                <w:vertAlign w:val="superscript"/>
              </w:rPr>
              <w:t>**</w:t>
            </w:r>
          </w:p>
        </w:tc>
        <w:tc>
          <w:tcPr>
            <w:tcW w:w="657" w:type="dxa"/>
            <w:shd w:val="clear" w:color="auto" w:fill="auto"/>
            <w:noWrap/>
            <w:hideMark/>
          </w:tcPr>
          <w:p w14:paraId="095CABC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.330</w:t>
            </w:r>
            <w:r w:rsidRPr="00DD7519">
              <w:rPr>
                <w:rFonts w:asciiTheme="majorBidi" w:hAnsiTheme="majorBidi" w:cstheme="majorBidi"/>
                <w:sz w:val="20"/>
                <w:szCs w:val="20"/>
                <w:vertAlign w:val="superscript"/>
              </w:rPr>
              <w:t>**</w:t>
            </w:r>
          </w:p>
        </w:tc>
        <w:tc>
          <w:tcPr>
            <w:tcW w:w="657" w:type="dxa"/>
            <w:shd w:val="clear" w:color="auto" w:fill="auto"/>
            <w:noWrap/>
            <w:hideMark/>
          </w:tcPr>
          <w:p w14:paraId="4336EE5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.304</w:t>
            </w:r>
            <w:r w:rsidRPr="00DD7519">
              <w:rPr>
                <w:rFonts w:asciiTheme="majorBidi" w:hAnsiTheme="majorBidi" w:cstheme="majorBidi"/>
                <w:sz w:val="20"/>
                <w:szCs w:val="20"/>
                <w:vertAlign w:val="superscript"/>
              </w:rPr>
              <w:t>**</w:t>
            </w:r>
          </w:p>
        </w:tc>
        <w:tc>
          <w:tcPr>
            <w:tcW w:w="657" w:type="dxa"/>
            <w:shd w:val="clear" w:color="auto" w:fill="auto"/>
            <w:noWrap/>
            <w:hideMark/>
          </w:tcPr>
          <w:p w14:paraId="2D62AC3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.141</w:t>
            </w:r>
            <w:r w:rsidRPr="00DD7519">
              <w:rPr>
                <w:rFonts w:asciiTheme="majorBidi" w:hAnsiTheme="majorBidi" w:cstheme="majorBidi"/>
                <w:sz w:val="20"/>
                <w:szCs w:val="20"/>
                <w:vertAlign w:val="superscript"/>
              </w:rPr>
              <w:t>**</w:t>
            </w:r>
          </w:p>
        </w:tc>
        <w:tc>
          <w:tcPr>
            <w:tcW w:w="658" w:type="dxa"/>
            <w:shd w:val="clear" w:color="auto" w:fill="auto"/>
            <w:noWrap/>
            <w:hideMark/>
          </w:tcPr>
          <w:p w14:paraId="3D768D2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-.256</w:t>
            </w:r>
            <w:r w:rsidRPr="00DD7519">
              <w:rPr>
                <w:rFonts w:asciiTheme="majorBidi" w:hAnsiTheme="majorBidi" w:cstheme="majorBidi"/>
                <w:sz w:val="20"/>
                <w:szCs w:val="20"/>
                <w:vertAlign w:val="superscript"/>
              </w:rPr>
              <w:t>**</w:t>
            </w:r>
          </w:p>
        </w:tc>
        <w:tc>
          <w:tcPr>
            <w:tcW w:w="657" w:type="dxa"/>
            <w:shd w:val="clear" w:color="auto" w:fill="auto"/>
            <w:noWrap/>
            <w:hideMark/>
          </w:tcPr>
          <w:p w14:paraId="0813029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1.00</w:t>
            </w:r>
          </w:p>
        </w:tc>
        <w:tc>
          <w:tcPr>
            <w:tcW w:w="657" w:type="dxa"/>
            <w:shd w:val="clear" w:color="auto" w:fill="auto"/>
          </w:tcPr>
          <w:p w14:paraId="5C563AE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.024</w:t>
            </w:r>
            <w:r w:rsidRPr="00DD7519">
              <w:rPr>
                <w:rFonts w:asciiTheme="majorBidi" w:hAnsiTheme="majorBidi" w:cstheme="majorBidi"/>
                <w:sz w:val="20"/>
                <w:szCs w:val="20"/>
                <w:vertAlign w:val="superscript"/>
              </w:rPr>
              <w:t>*</w:t>
            </w:r>
          </w:p>
        </w:tc>
        <w:tc>
          <w:tcPr>
            <w:tcW w:w="658" w:type="dxa"/>
          </w:tcPr>
          <w:p w14:paraId="731DD18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.026</w:t>
            </w:r>
            <w:r w:rsidRPr="00DD7519">
              <w:rPr>
                <w:rFonts w:asciiTheme="majorBidi" w:hAnsiTheme="majorBidi" w:cstheme="majorBidi"/>
                <w:sz w:val="20"/>
                <w:szCs w:val="20"/>
                <w:vertAlign w:val="superscript"/>
              </w:rPr>
              <w:t>*</w:t>
            </w:r>
          </w:p>
        </w:tc>
        <w:tc>
          <w:tcPr>
            <w:tcW w:w="658" w:type="dxa"/>
            <w:shd w:val="clear" w:color="auto" w:fill="auto"/>
            <w:noWrap/>
            <w:hideMark/>
          </w:tcPr>
          <w:p w14:paraId="59FB472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.044</w:t>
            </w:r>
            <w:r w:rsidRPr="00DD7519">
              <w:rPr>
                <w:rFonts w:asciiTheme="majorBidi" w:hAnsiTheme="majorBidi" w:cstheme="majorBidi"/>
                <w:sz w:val="20"/>
                <w:szCs w:val="20"/>
                <w:vertAlign w:val="superscript"/>
              </w:rPr>
              <w:t>**</w:t>
            </w:r>
          </w:p>
        </w:tc>
        <w:tc>
          <w:tcPr>
            <w:tcW w:w="658" w:type="dxa"/>
          </w:tcPr>
          <w:p w14:paraId="17E5CF2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rPr>
            </w:pPr>
            <w:r w:rsidRPr="00DD7519">
              <w:rPr>
                <w:rFonts w:asciiTheme="majorBidi" w:hAnsiTheme="majorBidi" w:cstheme="majorBidi"/>
                <w:sz w:val="20"/>
                <w:szCs w:val="20"/>
              </w:rPr>
              <w:t>0.01</w:t>
            </w:r>
          </w:p>
        </w:tc>
      </w:tr>
      <w:tr w:rsidR="00EA313E" w:rsidRPr="00E22546" w14:paraId="0962A3B6" w14:textId="77777777" w:rsidTr="00F42F0F">
        <w:tc>
          <w:tcPr>
            <w:tcW w:w="1968" w:type="dxa"/>
            <w:tcBorders>
              <w:bottom w:val="single" w:sz="4" w:space="0" w:color="auto"/>
            </w:tcBorders>
            <w:shd w:val="clear" w:color="auto" w:fill="auto"/>
            <w:noWrap/>
            <w:vAlign w:val="center"/>
            <w:hideMark/>
          </w:tcPr>
          <w:p w14:paraId="7241859C" w14:textId="77777777" w:rsidR="00EA313E" w:rsidRPr="00E22546" w:rsidRDefault="00EA313E" w:rsidP="00F42F0F">
            <w:pPr>
              <w:widowControl/>
              <w:autoSpaceDE/>
              <w:autoSpaceDN/>
              <w:rPr>
                <w:rFonts w:asciiTheme="majorBidi" w:hAnsiTheme="majorBidi" w:cstheme="majorBidi"/>
                <w14:ligatures w14:val="none"/>
              </w:rPr>
            </w:pPr>
            <w:r>
              <w:rPr>
                <w:color w:val="000000"/>
              </w:rPr>
              <w:t>CAR[-1,+1]</w:t>
            </w:r>
          </w:p>
        </w:tc>
        <w:tc>
          <w:tcPr>
            <w:tcW w:w="657" w:type="dxa"/>
            <w:tcBorders>
              <w:bottom w:val="single" w:sz="4" w:space="0" w:color="auto"/>
            </w:tcBorders>
            <w:shd w:val="clear" w:color="auto" w:fill="auto"/>
            <w:noWrap/>
            <w:hideMark/>
          </w:tcPr>
          <w:p w14:paraId="56AF9AD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.085</w:t>
            </w:r>
            <w:r w:rsidRPr="00DD7519">
              <w:rPr>
                <w:rFonts w:asciiTheme="majorBidi" w:hAnsiTheme="majorBidi" w:cstheme="majorBidi"/>
                <w:sz w:val="20"/>
                <w:szCs w:val="20"/>
                <w:vertAlign w:val="superscript"/>
              </w:rPr>
              <w:t>**</w:t>
            </w:r>
          </w:p>
        </w:tc>
        <w:tc>
          <w:tcPr>
            <w:tcW w:w="657" w:type="dxa"/>
            <w:tcBorders>
              <w:bottom w:val="single" w:sz="4" w:space="0" w:color="auto"/>
            </w:tcBorders>
            <w:shd w:val="clear" w:color="auto" w:fill="auto"/>
            <w:noWrap/>
            <w:hideMark/>
          </w:tcPr>
          <w:p w14:paraId="29D537C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-.072</w:t>
            </w:r>
            <w:r w:rsidRPr="00DD7519">
              <w:rPr>
                <w:rFonts w:asciiTheme="majorBidi" w:hAnsiTheme="majorBidi" w:cstheme="majorBidi"/>
                <w:sz w:val="20"/>
                <w:szCs w:val="20"/>
                <w:vertAlign w:val="superscript"/>
              </w:rPr>
              <w:t>**</w:t>
            </w:r>
          </w:p>
        </w:tc>
        <w:tc>
          <w:tcPr>
            <w:tcW w:w="657" w:type="dxa"/>
            <w:tcBorders>
              <w:bottom w:val="single" w:sz="4" w:space="0" w:color="auto"/>
            </w:tcBorders>
            <w:shd w:val="clear" w:color="auto" w:fill="auto"/>
            <w:noWrap/>
            <w:hideMark/>
          </w:tcPr>
          <w:p w14:paraId="73C8995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.039</w:t>
            </w:r>
            <w:r w:rsidRPr="00DD7519">
              <w:rPr>
                <w:rFonts w:asciiTheme="majorBidi" w:hAnsiTheme="majorBidi" w:cstheme="majorBidi"/>
                <w:sz w:val="20"/>
                <w:szCs w:val="20"/>
                <w:vertAlign w:val="superscript"/>
              </w:rPr>
              <w:t>**</w:t>
            </w:r>
          </w:p>
        </w:tc>
        <w:tc>
          <w:tcPr>
            <w:tcW w:w="658" w:type="dxa"/>
            <w:tcBorders>
              <w:bottom w:val="single" w:sz="4" w:space="0" w:color="auto"/>
            </w:tcBorders>
            <w:shd w:val="clear" w:color="auto" w:fill="auto"/>
            <w:noWrap/>
            <w:hideMark/>
          </w:tcPr>
          <w:p w14:paraId="71AE86B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.040</w:t>
            </w:r>
            <w:r w:rsidRPr="00DD7519">
              <w:rPr>
                <w:rFonts w:asciiTheme="majorBidi" w:hAnsiTheme="majorBidi" w:cstheme="majorBidi"/>
                <w:sz w:val="20"/>
                <w:szCs w:val="20"/>
                <w:vertAlign w:val="superscript"/>
              </w:rPr>
              <w:t>**</w:t>
            </w:r>
          </w:p>
        </w:tc>
        <w:tc>
          <w:tcPr>
            <w:tcW w:w="657" w:type="dxa"/>
            <w:tcBorders>
              <w:bottom w:val="single" w:sz="4" w:space="0" w:color="auto"/>
            </w:tcBorders>
            <w:shd w:val="clear" w:color="auto" w:fill="auto"/>
            <w:noWrap/>
            <w:hideMark/>
          </w:tcPr>
          <w:p w14:paraId="4F73605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0.00</w:t>
            </w:r>
          </w:p>
        </w:tc>
        <w:tc>
          <w:tcPr>
            <w:tcW w:w="657" w:type="dxa"/>
            <w:tcBorders>
              <w:bottom w:val="single" w:sz="4" w:space="0" w:color="auto"/>
            </w:tcBorders>
            <w:shd w:val="clear" w:color="auto" w:fill="auto"/>
            <w:noWrap/>
            <w:hideMark/>
          </w:tcPr>
          <w:p w14:paraId="1844C50D"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.074</w:t>
            </w:r>
            <w:r w:rsidRPr="00DD7519">
              <w:rPr>
                <w:rFonts w:asciiTheme="majorBidi" w:hAnsiTheme="majorBidi" w:cstheme="majorBidi"/>
                <w:sz w:val="20"/>
                <w:szCs w:val="20"/>
                <w:vertAlign w:val="superscript"/>
              </w:rPr>
              <w:t>**</w:t>
            </w:r>
          </w:p>
        </w:tc>
        <w:tc>
          <w:tcPr>
            <w:tcW w:w="657" w:type="dxa"/>
            <w:tcBorders>
              <w:bottom w:val="single" w:sz="4" w:space="0" w:color="auto"/>
            </w:tcBorders>
            <w:shd w:val="clear" w:color="auto" w:fill="auto"/>
            <w:noWrap/>
            <w:hideMark/>
          </w:tcPr>
          <w:p w14:paraId="2148417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-.057</w:t>
            </w:r>
            <w:r w:rsidRPr="00DD7519">
              <w:rPr>
                <w:rFonts w:asciiTheme="majorBidi" w:hAnsiTheme="majorBidi" w:cstheme="majorBidi"/>
                <w:sz w:val="20"/>
                <w:szCs w:val="20"/>
                <w:vertAlign w:val="superscript"/>
              </w:rPr>
              <w:t>**</w:t>
            </w:r>
          </w:p>
        </w:tc>
        <w:tc>
          <w:tcPr>
            <w:tcW w:w="658" w:type="dxa"/>
            <w:tcBorders>
              <w:bottom w:val="single" w:sz="4" w:space="0" w:color="auto"/>
            </w:tcBorders>
            <w:shd w:val="clear" w:color="auto" w:fill="auto"/>
            <w:noWrap/>
            <w:hideMark/>
          </w:tcPr>
          <w:p w14:paraId="6C043F7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.104</w:t>
            </w:r>
            <w:r w:rsidRPr="00DD7519">
              <w:rPr>
                <w:rFonts w:asciiTheme="majorBidi" w:hAnsiTheme="majorBidi" w:cstheme="majorBidi"/>
                <w:sz w:val="20"/>
                <w:szCs w:val="20"/>
                <w:vertAlign w:val="superscript"/>
              </w:rPr>
              <w:t>**</w:t>
            </w:r>
          </w:p>
        </w:tc>
        <w:tc>
          <w:tcPr>
            <w:tcW w:w="657" w:type="dxa"/>
            <w:tcBorders>
              <w:bottom w:val="single" w:sz="4" w:space="0" w:color="auto"/>
            </w:tcBorders>
            <w:shd w:val="clear" w:color="auto" w:fill="auto"/>
            <w:noWrap/>
            <w:hideMark/>
          </w:tcPr>
          <w:p w14:paraId="7A0435E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.094</w:t>
            </w:r>
            <w:r w:rsidRPr="00DD7519">
              <w:rPr>
                <w:rFonts w:asciiTheme="majorBidi" w:hAnsiTheme="majorBidi" w:cstheme="majorBidi"/>
                <w:sz w:val="20"/>
                <w:szCs w:val="20"/>
                <w:vertAlign w:val="superscript"/>
              </w:rPr>
              <w:t>**</w:t>
            </w:r>
          </w:p>
        </w:tc>
        <w:tc>
          <w:tcPr>
            <w:tcW w:w="657" w:type="dxa"/>
            <w:tcBorders>
              <w:bottom w:val="single" w:sz="4" w:space="0" w:color="auto"/>
            </w:tcBorders>
            <w:shd w:val="clear" w:color="auto" w:fill="auto"/>
            <w:noWrap/>
            <w:hideMark/>
          </w:tcPr>
          <w:p w14:paraId="0E96138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.075</w:t>
            </w:r>
            <w:r w:rsidRPr="00DD7519">
              <w:rPr>
                <w:rFonts w:asciiTheme="majorBidi" w:hAnsiTheme="majorBidi" w:cstheme="majorBidi"/>
                <w:sz w:val="20"/>
                <w:szCs w:val="20"/>
                <w:vertAlign w:val="superscript"/>
              </w:rPr>
              <w:t>**</w:t>
            </w:r>
          </w:p>
        </w:tc>
        <w:tc>
          <w:tcPr>
            <w:tcW w:w="657" w:type="dxa"/>
            <w:tcBorders>
              <w:bottom w:val="single" w:sz="4" w:space="0" w:color="auto"/>
            </w:tcBorders>
            <w:shd w:val="clear" w:color="auto" w:fill="auto"/>
            <w:noWrap/>
            <w:hideMark/>
          </w:tcPr>
          <w:p w14:paraId="2E77E5B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.098</w:t>
            </w:r>
            <w:r w:rsidRPr="00DD7519">
              <w:rPr>
                <w:rFonts w:asciiTheme="majorBidi" w:hAnsiTheme="majorBidi" w:cstheme="majorBidi"/>
                <w:sz w:val="20"/>
                <w:szCs w:val="20"/>
                <w:vertAlign w:val="superscript"/>
              </w:rPr>
              <w:t>**</w:t>
            </w:r>
          </w:p>
        </w:tc>
        <w:tc>
          <w:tcPr>
            <w:tcW w:w="658" w:type="dxa"/>
            <w:tcBorders>
              <w:bottom w:val="single" w:sz="4" w:space="0" w:color="auto"/>
            </w:tcBorders>
            <w:shd w:val="clear" w:color="auto" w:fill="auto"/>
            <w:noWrap/>
            <w:hideMark/>
          </w:tcPr>
          <w:p w14:paraId="48B4050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-.049</w:t>
            </w:r>
            <w:r w:rsidRPr="00DD7519">
              <w:rPr>
                <w:rFonts w:asciiTheme="majorBidi" w:hAnsiTheme="majorBidi" w:cstheme="majorBidi"/>
                <w:sz w:val="20"/>
                <w:szCs w:val="20"/>
                <w:vertAlign w:val="superscript"/>
              </w:rPr>
              <w:t>**</w:t>
            </w:r>
          </w:p>
        </w:tc>
        <w:tc>
          <w:tcPr>
            <w:tcW w:w="657" w:type="dxa"/>
            <w:tcBorders>
              <w:bottom w:val="single" w:sz="4" w:space="0" w:color="auto"/>
            </w:tcBorders>
            <w:shd w:val="clear" w:color="auto" w:fill="auto"/>
            <w:noWrap/>
            <w:hideMark/>
          </w:tcPr>
          <w:p w14:paraId="3D32BBA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.024</w:t>
            </w:r>
            <w:r w:rsidRPr="00DD7519">
              <w:rPr>
                <w:rFonts w:asciiTheme="majorBidi" w:hAnsiTheme="majorBidi" w:cstheme="majorBidi"/>
                <w:sz w:val="20"/>
                <w:szCs w:val="20"/>
                <w:vertAlign w:val="superscript"/>
              </w:rPr>
              <w:t>*</w:t>
            </w:r>
          </w:p>
        </w:tc>
        <w:tc>
          <w:tcPr>
            <w:tcW w:w="657" w:type="dxa"/>
            <w:tcBorders>
              <w:bottom w:val="single" w:sz="4" w:space="0" w:color="auto"/>
            </w:tcBorders>
            <w:shd w:val="clear" w:color="auto" w:fill="auto"/>
            <w:noWrap/>
            <w:hideMark/>
          </w:tcPr>
          <w:p w14:paraId="5E56FAF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1.00</w:t>
            </w:r>
          </w:p>
        </w:tc>
        <w:tc>
          <w:tcPr>
            <w:tcW w:w="658" w:type="dxa"/>
            <w:tcBorders>
              <w:bottom w:val="single" w:sz="4" w:space="0" w:color="auto"/>
            </w:tcBorders>
          </w:tcPr>
          <w:p w14:paraId="49E7DAF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0.00</w:t>
            </w:r>
          </w:p>
        </w:tc>
        <w:tc>
          <w:tcPr>
            <w:tcW w:w="658" w:type="dxa"/>
            <w:tcBorders>
              <w:bottom w:val="single" w:sz="4" w:space="0" w:color="auto"/>
            </w:tcBorders>
            <w:shd w:val="clear" w:color="auto" w:fill="auto"/>
            <w:noWrap/>
            <w:hideMark/>
          </w:tcPr>
          <w:p w14:paraId="5EC8C0EC"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0.01</w:t>
            </w:r>
          </w:p>
        </w:tc>
        <w:tc>
          <w:tcPr>
            <w:tcW w:w="658" w:type="dxa"/>
            <w:tcBorders>
              <w:bottom w:val="single" w:sz="4" w:space="0" w:color="auto"/>
            </w:tcBorders>
          </w:tcPr>
          <w:p w14:paraId="569E139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rPr>
            </w:pPr>
            <w:r w:rsidRPr="00DD7519">
              <w:rPr>
                <w:rFonts w:asciiTheme="majorBidi" w:hAnsiTheme="majorBidi" w:cstheme="majorBidi"/>
                <w:sz w:val="20"/>
                <w:szCs w:val="20"/>
              </w:rPr>
              <w:t>0.00</w:t>
            </w:r>
          </w:p>
        </w:tc>
      </w:tr>
      <w:tr w:rsidR="00EA313E" w:rsidRPr="00E22546" w14:paraId="23D0666B" w14:textId="77777777" w:rsidTr="00F42F0F">
        <w:tc>
          <w:tcPr>
            <w:tcW w:w="1968" w:type="dxa"/>
            <w:tcBorders>
              <w:top w:val="single" w:sz="4" w:space="0" w:color="auto"/>
              <w:bottom w:val="single" w:sz="4" w:space="0" w:color="auto"/>
            </w:tcBorders>
            <w:shd w:val="clear" w:color="auto" w:fill="auto"/>
            <w:noWrap/>
            <w:vAlign w:val="center"/>
            <w:hideMark/>
          </w:tcPr>
          <w:p w14:paraId="282F2967" w14:textId="77777777" w:rsidR="00EA313E" w:rsidRPr="00E22546" w:rsidRDefault="00EA313E" w:rsidP="00F42F0F">
            <w:pPr>
              <w:widowControl/>
              <w:autoSpaceDE/>
              <w:autoSpaceDN/>
              <w:rPr>
                <w:rFonts w:asciiTheme="majorBidi" w:hAnsiTheme="majorBidi" w:cstheme="majorBidi"/>
                <w14:ligatures w14:val="none"/>
              </w:rPr>
            </w:pPr>
            <w:r>
              <w:rPr>
                <w:color w:val="000000"/>
              </w:rPr>
              <w:t>Maturity</w:t>
            </w:r>
          </w:p>
        </w:tc>
        <w:tc>
          <w:tcPr>
            <w:tcW w:w="657" w:type="dxa"/>
            <w:tcBorders>
              <w:top w:val="single" w:sz="4" w:space="0" w:color="auto"/>
              <w:bottom w:val="single" w:sz="4" w:space="0" w:color="auto"/>
            </w:tcBorders>
            <w:shd w:val="clear" w:color="auto" w:fill="auto"/>
            <w:noWrap/>
            <w:hideMark/>
          </w:tcPr>
          <w:p w14:paraId="3454154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.116</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hideMark/>
          </w:tcPr>
          <w:p w14:paraId="18C236B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-.041</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hideMark/>
          </w:tcPr>
          <w:p w14:paraId="6DB9DB1A"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8" w:type="dxa"/>
            <w:tcBorders>
              <w:top w:val="single" w:sz="4" w:space="0" w:color="auto"/>
              <w:bottom w:val="single" w:sz="4" w:space="0" w:color="auto"/>
            </w:tcBorders>
            <w:shd w:val="clear" w:color="auto" w:fill="auto"/>
            <w:noWrap/>
            <w:hideMark/>
          </w:tcPr>
          <w:p w14:paraId="0E175F5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.095</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hideMark/>
          </w:tcPr>
          <w:p w14:paraId="31B27AC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7" w:type="dxa"/>
            <w:tcBorders>
              <w:top w:val="single" w:sz="4" w:space="0" w:color="auto"/>
              <w:bottom w:val="single" w:sz="4" w:space="0" w:color="auto"/>
            </w:tcBorders>
            <w:shd w:val="clear" w:color="auto" w:fill="auto"/>
            <w:noWrap/>
            <w:hideMark/>
          </w:tcPr>
          <w:p w14:paraId="271D182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.027</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hideMark/>
          </w:tcPr>
          <w:p w14:paraId="2233A32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-.059</w:t>
            </w:r>
            <w:r w:rsidRPr="00DD7519">
              <w:rPr>
                <w:rFonts w:asciiTheme="majorBidi" w:hAnsiTheme="majorBidi" w:cstheme="majorBidi"/>
                <w:sz w:val="20"/>
                <w:szCs w:val="20"/>
                <w:vertAlign w:val="superscript"/>
              </w:rPr>
              <w:t>**</w:t>
            </w:r>
          </w:p>
        </w:tc>
        <w:tc>
          <w:tcPr>
            <w:tcW w:w="658" w:type="dxa"/>
            <w:tcBorders>
              <w:top w:val="single" w:sz="4" w:space="0" w:color="auto"/>
              <w:bottom w:val="single" w:sz="4" w:space="0" w:color="auto"/>
            </w:tcBorders>
            <w:shd w:val="clear" w:color="auto" w:fill="auto"/>
            <w:noWrap/>
            <w:hideMark/>
          </w:tcPr>
          <w:p w14:paraId="3206B7A1"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.063</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hideMark/>
          </w:tcPr>
          <w:p w14:paraId="46BF78A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.081</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hideMark/>
          </w:tcPr>
          <w:p w14:paraId="3A83637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.063</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hideMark/>
          </w:tcPr>
          <w:p w14:paraId="5D8CE30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0.00</w:t>
            </w:r>
          </w:p>
        </w:tc>
        <w:tc>
          <w:tcPr>
            <w:tcW w:w="658" w:type="dxa"/>
            <w:tcBorders>
              <w:top w:val="single" w:sz="4" w:space="0" w:color="auto"/>
              <w:bottom w:val="single" w:sz="4" w:space="0" w:color="auto"/>
            </w:tcBorders>
            <w:shd w:val="clear" w:color="auto" w:fill="auto"/>
            <w:noWrap/>
            <w:hideMark/>
          </w:tcPr>
          <w:p w14:paraId="00EDEF2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.160</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hideMark/>
          </w:tcPr>
          <w:p w14:paraId="42FCE88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.026</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hideMark/>
          </w:tcPr>
          <w:p w14:paraId="7B70C3A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0.00</w:t>
            </w:r>
          </w:p>
        </w:tc>
        <w:tc>
          <w:tcPr>
            <w:tcW w:w="658" w:type="dxa"/>
            <w:tcBorders>
              <w:top w:val="single" w:sz="4" w:space="0" w:color="auto"/>
              <w:bottom w:val="single" w:sz="4" w:space="0" w:color="auto"/>
            </w:tcBorders>
          </w:tcPr>
          <w:p w14:paraId="300ECFB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1.00</w:t>
            </w:r>
          </w:p>
        </w:tc>
        <w:tc>
          <w:tcPr>
            <w:tcW w:w="658" w:type="dxa"/>
            <w:tcBorders>
              <w:top w:val="single" w:sz="4" w:space="0" w:color="auto"/>
              <w:bottom w:val="single" w:sz="4" w:space="0" w:color="auto"/>
            </w:tcBorders>
            <w:shd w:val="clear" w:color="auto" w:fill="auto"/>
            <w:noWrap/>
            <w:hideMark/>
          </w:tcPr>
          <w:p w14:paraId="43433E4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.187</w:t>
            </w:r>
            <w:r w:rsidRPr="00DD7519">
              <w:rPr>
                <w:rFonts w:asciiTheme="majorBidi" w:hAnsiTheme="majorBidi" w:cstheme="majorBidi"/>
                <w:sz w:val="20"/>
                <w:szCs w:val="20"/>
                <w:vertAlign w:val="superscript"/>
              </w:rPr>
              <w:t>**</w:t>
            </w:r>
          </w:p>
        </w:tc>
        <w:tc>
          <w:tcPr>
            <w:tcW w:w="658" w:type="dxa"/>
            <w:tcBorders>
              <w:top w:val="single" w:sz="4" w:space="0" w:color="auto"/>
              <w:bottom w:val="single" w:sz="4" w:space="0" w:color="auto"/>
            </w:tcBorders>
          </w:tcPr>
          <w:p w14:paraId="05B8F66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rPr>
            </w:pPr>
            <w:r w:rsidRPr="00DD7519">
              <w:rPr>
                <w:rFonts w:asciiTheme="majorBidi" w:hAnsiTheme="majorBidi" w:cstheme="majorBidi"/>
                <w:sz w:val="20"/>
                <w:szCs w:val="20"/>
              </w:rPr>
              <w:t>-0.01</w:t>
            </w:r>
          </w:p>
        </w:tc>
      </w:tr>
      <w:tr w:rsidR="00EA313E" w:rsidRPr="00E22546" w14:paraId="5663AF5D" w14:textId="77777777" w:rsidTr="00F42F0F">
        <w:tc>
          <w:tcPr>
            <w:tcW w:w="1968" w:type="dxa"/>
            <w:tcBorders>
              <w:top w:val="single" w:sz="4" w:space="0" w:color="auto"/>
              <w:bottom w:val="single" w:sz="4" w:space="0" w:color="auto"/>
            </w:tcBorders>
            <w:shd w:val="clear" w:color="auto" w:fill="auto"/>
            <w:noWrap/>
            <w:vAlign w:val="bottom"/>
          </w:tcPr>
          <w:p w14:paraId="0CF5CA6D" w14:textId="77777777" w:rsidR="00EA313E" w:rsidRPr="00E22546" w:rsidRDefault="00EA313E" w:rsidP="00F42F0F">
            <w:pPr>
              <w:widowControl/>
              <w:autoSpaceDE/>
              <w:autoSpaceDN/>
              <w:rPr>
                <w:rFonts w:asciiTheme="majorBidi" w:hAnsiTheme="majorBidi" w:cstheme="majorBidi"/>
                <w14:ligatures w14:val="none"/>
              </w:rPr>
            </w:pPr>
            <w:r w:rsidRPr="00EB288C">
              <w:rPr>
                <w:color w:val="000000"/>
              </w:rPr>
              <w:t>Duration</w:t>
            </w:r>
          </w:p>
        </w:tc>
        <w:tc>
          <w:tcPr>
            <w:tcW w:w="657" w:type="dxa"/>
            <w:tcBorders>
              <w:top w:val="single" w:sz="4" w:space="0" w:color="auto"/>
              <w:bottom w:val="single" w:sz="4" w:space="0" w:color="auto"/>
            </w:tcBorders>
            <w:shd w:val="clear" w:color="auto" w:fill="auto"/>
            <w:noWrap/>
          </w:tcPr>
          <w:p w14:paraId="4C6369E0"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.143</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1CE18BA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-.040</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13B7078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-.040</w:t>
            </w:r>
            <w:r w:rsidRPr="00DD7519">
              <w:rPr>
                <w:rFonts w:asciiTheme="majorBidi" w:hAnsiTheme="majorBidi" w:cstheme="majorBidi"/>
                <w:sz w:val="20"/>
                <w:szCs w:val="20"/>
                <w:vertAlign w:val="superscript"/>
              </w:rPr>
              <w:t>**</w:t>
            </w:r>
          </w:p>
        </w:tc>
        <w:tc>
          <w:tcPr>
            <w:tcW w:w="658" w:type="dxa"/>
            <w:tcBorders>
              <w:top w:val="single" w:sz="4" w:space="0" w:color="auto"/>
              <w:bottom w:val="single" w:sz="4" w:space="0" w:color="auto"/>
            </w:tcBorders>
            <w:shd w:val="clear" w:color="auto" w:fill="auto"/>
            <w:noWrap/>
          </w:tcPr>
          <w:p w14:paraId="6FA927B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.098</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4765E84E"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.037</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2B8DDB2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.066</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7C1DCA7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-.074</w:t>
            </w:r>
            <w:r w:rsidRPr="00DD7519">
              <w:rPr>
                <w:rFonts w:asciiTheme="majorBidi" w:hAnsiTheme="majorBidi" w:cstheme="majorBidi"/>
                <w:sz w:val="20"/>
                <w:szCs w:val="20"/>
                <w:vertAlign w:val="superscript"/>
              </w:rPr>
              <w:t>**</w:t>
            </w:r>
          </w:p>
        </w:tc>
        <w:tc>
          <w:tcPr>
            <w:tcW w:w="658" w:type="dxa"/>
            <w:tcBorders>
              <w:top w:val="single" w:sz="4" w:space="0" w:color="auto"/>
              <w:bottom w:val="single" w:sz="4" w:space="0" w:color="auto"/>
            </w:tcBorders>
            <w:shd w:val="clear" w:color="auto" w:fill="auto"/>
            <w:noWrap/>
          </w:tcPr>
          <w:p w14:paraId="1DEE6E1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.117</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5F0216E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.127</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6E34D49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.116</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7BCC5B5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.036</w:t>
            </w:r>
            <w:r w:rsidRPr="00DD7519">
              <w:rPr>
                <w:rFonts w:asciiTheme="majorBidi" w:hAnsiTheme="majorBidi" w:cstheme="majorBidi"/>
                <w:sz w:val="20"/>
                <w:szCs w:val="20"/>
                <w:vertAlign w:val="superscript"/>
              </w:rPr>
              <w:t>**</w:t>
            </w:r>
          </w:p>
        </w:tc>
        <w:tc>
          <w:tcPr>
            <w:tcW w:w="658" w:type="dxa"/>
            <w:tcBorders>
              <w:top w:val="single" w:sz="4" w:space="0" w:color="auto"/>
              <w:bottom w:val="single" w:sz="4" w:space="0" w:color="auto"/>
            </w:tcBorders>
            <w:shd w:val="clear" w:color="auto" w:fill="auto"/>
            <w:noWrap/>
          </w:tcPr>
          <w:p w14:paraId="69D8817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-.106</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31EB142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.044</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22722F2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0.01</w:t>
            </w:r>
          </w:p>
        </w:tc>
        <w:tc>
          <w:tcPr>
            <w:tcW w:w="658" w:type="dxa"/>
            <w:tcBorders>
              <w:top w:val="single" w:sz="4" w:space="0" w:color="auto"/>
              <w:bottom w:val="single" w:sz="4" w:space="0" w:color="auto"/>
            </w:tcBorders>
          </w:tcPr>
          <w:p w14:paraId="1186FFF3"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.187</w:t>
            </w:r>
            <w:r w:rsidRPr="00DD7519">
              <w:rPr>
                <w:rFonts w:asciiTheme="majorBidi" w:hAnsiTheme="majorBidi" w:cstheme="majorBidi"/>
                <w:sz w:val="20"/>
                <w:szCs w:val="20"/>
                <w:vertAlign w:val="superscript"/>
              </w:rPr>
              <w:t>**</w:t>
            </w:r>
          </w:p>
        </w:tc>
        <w:tc>
          <w:tcPr>
            <w:tcW w:w="658" w:type="dxa"/>
            <w:tcBorders>
              <w:top w:val="single" w:sz="4" w:space="0" w:color="auto"/>
              <w:bottom w:val="single" w:sz="4" w:space="0" w:color="auto"/>
            </w:tcBorders>
            <w:shd w:val="clear" w:color="auto" w:fill="auto"/>
            <w:noWrap/>
          </w:tcPr>
          <w:p w14:paraId="0315C38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1.00</w:t>
            </w:r>
          </w:p>
        </w:tc>
        <w:tc>
          <w:tcPr>
            <w:tcW w:w="658" w:type="dxa"/>
            <w:tcBorders>
              <w:top w:val="single" w:sz="4" w:space="0" w:color="auto"/>
              <w:bottom w:val="single" w:sz="4" w:space="0" w:color="auto"/>
            </w:tcBorders>
          </w:tcPr>
          <w:p w14:paraId="74FAD8FF"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rPr>
            </w:pPr>
            <w:r w:rsidRPr="00DD7519">
              <w:rPr>
                <w:rFonts w:asciiTheme="majorBidi" w:hAnsiTheme="majorBidi" w:cstheme="majorBidi"/>
                <w:sz w:val="20"/>
                <w:szCs w:val="20"/>
              </w:rPr>
              <w:t>0.02</w:t>
            </w:r>
          </w:p>
        </w:tc>
      </w:tr>
      <w:tr w:rsidR="00EA313E" w:rsidRPr="00E22546" w14:paraId="05491D54" w14:textId="77777777" w:rsidTr="00F42F0F">
        <w:tc>
          <w:tcPr>
            <w:tcW w:w="1968" w:type="dxa"/>
            <w:tcBorders>
              <w:top w:val="single" w:sz="4" w:space="0" w:color="auto"/>
              <w:bottom w:val="single" w:sz="4" w:space="0" w:color="auto"/>
            </w:tcBorders>
            <w:shd w:val="clear" w:color="auto" w:fill="auto"/>
            <w:noWrap/>
            <w:vAlign w:val="center"/>
          </w:tcPr>
          <w:p w14:paraId="494B75F3" w14:textId="77777777" w:rsidR="00EA313E" w:rsidRPr="00E22546" w:rsidRDefault="00EA313E" w:rsidP="00F42F0F">
            <w:pPr>
              <w:widowControl/>
              <w:autoSpaceDE/>
              <w:autoSpaceDN/>
              <w:rPr>
                <w:rFonts w:asciiTheme="majorBidi" w:hAnsiTheme="majorBidi" w:cstheme="majorBidi"/>
                <w14:ligatures w14:val="none"/>
              </w:rPr>
            </w:pPr>
            <w:r>
              <w:rPr>
                <w:color w:val="000000"/>
              </w:rPr>
              <w:t>Issue Relative Size</w:t>
            </w:r>
          </w:p>
        </w:tc>
        <w:tc>
          <w:tcPr>
            <w:tcW w:w="657" w:type="dxa"/>
            <w:tcBorders>
              <w:top w:val="single" w:sz="4" w:space="0" w:color="auto"/>
              <w:bottom w:val="single" w:sz="4" w:space="0" w:color="auto"/>
            </w:tcBorders>
            <w:shd w:val="clear" w:color="auto" w:fill="auto"/>
            <w:noWrap/>
          </w:tcPr>
          <w:p w14:paraId="6EF8CC15"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-.036</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59BA358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-.079</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57A4EF5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8" w:type="dxa"/>
            <w:tcBorders>
              <w:top w:val="single" w:sz="4" w:space="0" w:color="auto"/>
              <w:bottom w:val="single" w:sz="4" w:space="0" w:color="auto"/>
            </w:tcBorders>
            <w:shd w:val="clear" w:color="auto" w:fill="auto"/>
            <w:noWrap/>
          </w:tcPr>
          <w:p w14:paraId="6D7E87E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7" w:type="dxa"/>
            <w:tcBorders>
              <w:top w:val="single" w:sz="4" w:space="0" w:color="auto"/>
              <w:bottom w:val="single" w:sz="4" w:space="0" w:color="auto"/>
            </w:tcBorders>
            <w:shd w:val="clear" w:color="auto" w:fill="auto"/>
            <w:noWrap/>
          </w:tcPr>
          <w:p w14:paraId="2A30F566"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.915</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3343185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0.00</w:t>
            </w:r>
          </w:p>
        </w:tc>
        <w:tc>
          <w:tcPr>
            <w:tcW w:w="657" w:type="dxa"/>
            <w:tcBorders>
              <w:top w:val="single" w:sz="4" w:space="0" w:color="auto"/>
              <w:bottom w:val="single" w:sz="4" w:space="0" w:color="auto"/>
            </w:tcBorders>
            <w:shd w:val="clear" w:color="auto" w:fill="auto"/>
            <w:noWrap/>
          </w:tcPr>
          <w:p w14:paraId="300A2DC8"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.039</w:t>
            </w:r>
            <w:r w:rsidRPr="00DD7519">
              <w:rPr>
                <w:rFonts w:asciiTheme="majorBidi" w:hAnsiTheme="majorBidi" w:cstheme="majorBidi"/>
                <w:sz w:val="20"/>
                <w:szCs w:val="20"/>
                <w:vertAlign w:val="superscript"/>
              </w:rPr>
              <w:t>**</w:t>
            </w:r>
          </w:p>
        </w:tc>
        <w:tc>
          <w:tcPr>
            <w:tcW w:w="658" w:type="dxa"/>
            <w:tcBorders>
              <w:top w:val="single" w:sz="4" w:space="0" w:color="auto"/>
              <w:bottom w:val="single" w:sz="4" w:space="0" w:color="auto"/>
            </w:tcBorders>
            <w:shd w:val="clear" w:color="auto" w:fill="auto"/>
            <w:noWrap/>
          </w:tcPr>
          <w:p w14:paraId="118B198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-0.02</w:t>
            </w:r>
          </w:p>
        </w:tc>
        <w:tc>
          <w:tcPr>
            <w:tcW w:w="657" w:type="dxa"/>
            <w:tcBorders>
              <w:top w:val="single" w:sz="4" w:space="0" w:color="auto"/>
              <w:bottom w:val="single" w:sz="4" w:space="0" w:color="auto"/>
            </w:tcBorders>
            <w:shd w:val="clear" w:color="auto" w:fill="auto"/>
            <w:noWrap/>
          </w:tcPr>
          <w:p w14:paraId="205E97D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-.030</w:t>
            </w:r>
            <w:r w:rsidRPr="00DD7519">
              <w:rPr>
                <w:rFonts w:asciiTheme="majorBidi" w:hAnsiTheme="majorBidi" w:cstheme="majorBidi"/>
                <w:sz w:val="20"/>
                <w:szCs w:val="20"/>
                <w:vertAlign w:val="superscript"/>
              </w:rPr>
              <w:t>*</w:t>
            </w:r>
          </w:p>
        </w:tc>
        <w:tc>
          <w:tcPr>
            <w:tcW w:w="657" w:type="dxa"/>
            <w:tcBorders>
              <w:top w:val="single" w:sz="4" w:space="0" w:color="auto"/>
              <w:bottom w:val="single" w:sz="4" w:space="0" w:color="auto"/>
            </w:tcBorders>
            <w:shd w:val="clear" w:color="auto" w:fill="auto"/>
            <w:noWrap/>
          </w:tcPr>
          <w:p w14:paraId="67F430D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-0.02</w:t>
            </w:r>
          </w:p>
        </w:tc>
        <w:tc>
          <w:tcPr>
            <w:tcW w:w="657" w:type="dxa"/>
            <w:tcBorders>
              <w:top w:val="single" w:sz="4" w:space="0" w:color="auto"/>
              <w:bottom w:val="single" w:sz="4" w:space="0" w:color="auto"/>
            </w:tcBorders>
            <w:shd w:val="clear" w:color="auto" w:fill="auto"/>
            <w:noWrap/>
          </w:tcPr>
          <w:p w14:paraId="1E021C6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14:ligatures w14:val="none"/>
              </w:rPr>
            </w:pPr>
            <w:r w:rsidRPr="00DD7519">
              <w:rPr>
                <w:rFonts w:asciiTheme="majorBidi" w:hAnsiTheme="majorBidi" w:cstheme="majorBidi"/>
                <w:sz w:val="20"/>
                <w:szCs w:val="20"/>
              </w:rPr>
              <w:t>-0.01</w:t>
            </w:r>
          </w:p>
        </w:tc>
        <w:tc>
          <w:tcPr>
            <w:tcW w:w="658" w:type="dxa"/>
            <w:tcBorders>
              <w:top w:val="single" w:sz="4" w:space="0" w:color="auto"/>
              <w:bottom w:val="single" w:sz="4" w:space="0" w:color="auto"/>
            </w:tcBorders>
            <w:shd w:val="clear" w:color="auto" w:fill="auto"/>
            <w:noWrap/>
          </w:tcPr>
          <w:p w14:paraId="520901D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-0.01</w:t>
            </w:r>
          </w:p>
        </w:tc>
        <w:tc>
          <w:tcPr>
            <w:tcW w:w="657" w:type="dxa"/>
            <w:tcBorders>
              <w:top w:val="single" w:sz="4" w:space="0" w:color="auto"/>
              <w:bottom w:val="single" w:sz="4" w:space="0" w:color="auto"/>
            </w:tcBorders>
            <w:shd w:val="clear" w:color="auto" w:fill="auto"/>
            <w:noWrap/>
          </w:tcPr>
          <w:p w14:paraId="3E97C409"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0.01</w:t>
            </w:r>
          </w:p>
        </w:tc>
        <w:tc>
          <w:tcPr>
            <w:tcW w:w="657" w:type="dxa"/>
            <w:tcBorders>
              <w:top w:val="single" w:sz="4" w:space="0" w:color="auto"/>
              <w:bottom w:val="single" w:sz="4" w:space="0" w:color="auto"/>
            </w:tcBorders>
            <w:shd w:val="clear" w:color="auto" w:fill="auto"/>
            <w:noWrap/>
          </w:tcPr>
          <w:p w14:paraId="5F485294"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0.00</w:t>
            </w:r>
          </w:p>
        </w:tc>
        <w:tc>
          <w:tcPr>
            <w:tcW w:w="658" w:type="dxa"/>
            <w:tcBorders>
              <w:top w:val="single" w:sz="4" w:space="0" w:color="auto"/>
              <w:bottom w:val="single" w:sz="4" w:space="0" w:color="auto"/>
            </w:tcBorders>
          </w:tcPr>
          <w:p w14:paraId="7494D247"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-0.01</w:t>
            </w:r>
          </w:p>
        </w:tc>
        <w:tc>
          <w:tcPr>
            <w:tcW w:w="658" w:type="dxa"/>
            <w:tcBorders>
              <w:top w:val="single" w:sz="4" w:space="0" w:color="auto"/>
              <w:bottom w:val="single" w:sz="4" w:space="0" w:color="auto"/>
            </w:tcBorders>
            <w:shd w:val="clear" w:color="auto" w:fill="auto"/>
            <w:noWrap/>
          </w:tcPr>
          <w:p w14:paraId="0C53D7D2"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14:ligatures w14:val="none"/>
              </w:rPr>
            </w:pPr>
            <w:r w:rsidRPr="00DD7519">
              <w:rPr>
                <w:rFonts w:asciiTheme="majorBidi" w:hAnsiTheme="majorBidi" w:cstheme="majorBidi"/>
                <w:sz w:val="20"/>
                <w:szCs w:val="20"/>
              </w:rPr>
              <w:t>0.02</w:t>
            </w:r>
          </w:p>
        </w:tc>
        <w:tc>
          <w:tcPr>
            <w:tcW w:w="658" w:type="dxa"/>
            <w:tcBorders>
              <w:top w:val="single" w:sz="4" w:space="0" w:color="auto"/>
              <w:bottom w:val="single" w:sz="4" w:space="0" w:color="auto"/>
            </w:tcBorders>
          </w:tcPr>
          <w:p w14:paraId="078B47AB" w14:textId="77777777" w:rsidR="00EA313E" w:rsidRPr="00DD7519" w:rsidRDefault="00EA313E" w:rsidP="00F42F0F">
            <w:pPr>
              <w:widowControl/>
              <w:tabs>
                <w:tab w:val="decimal" w:pos="0"/>
              </w:tabs>
              <w:autoSpaceDE/>
              <w:autoSpaceDN/>
              <w:ind w:left="-102" w:right="-118"/>
              <w:jc w:val="center"/>
              <w:rPr>
                <w:rFonts w:asciiTheme="majorBidi" w:hAnsiTheme="majorBidi" w:cstheme="majorBidi"/>
                <w:sz w:val="20"/>
                <w:szCs w:val="20"/>
                <w:highlight w:val="yellow"/>
              </w:rPr>
            </w:pPr>
            <w:r w:rsidRPr="00DD7519">
              <w:rPr>
                <w:rFonts w:asciiTheme="majorBidi" w:hAnsiTheme="majorBidi" w:cstheme="majorBidi"/>
                <w:sz w:val="20"/>
                <w:szCs w:val="20"/>
              </w:rPr>
              <w:t>1.00</w:t>
            </w:r>
          </w:p>
        </w:tc>
      </w:tr>
    </w:tbl>
    <w:p w14:paraId="60F6C773" w14:textId="77777777" w:rsidR="00EA313E" w:rsidRPr="0071098D" w:rsidRDefault="00EA313E" w:rsidP="00EA313E">
      <w:pPr>
        <w:jc w:val="both"/>
        <w:rPr>
          <w:rFonts w:asciiTheme="majorBidi" w:hAnsiTheme="majorBidi" w:cstheme="majorBidi"/>
        </w:rPr>
      </w:pPr>
      <w:r w:rsidRPr="0071098D">
        <w:rPr>
          <w:rFonts w:asciiTheme="majorBidi" w:hAnsiTheme="majorBidi" w:cstheme="majorBidi"/>
        </w:rPr>
        <w:t>*, **  indicate significance at 5%, and 1% level, respectively</w:t>
      </w:r>
    </w:p>
    <w:p w14:paraId="764E7FDC" w14:textId="77777777" w:rsidR="00EA313E" w:rsidRPr="0071098D" w:rsidRDefault="00EA313E" w:rsidP="00EA313E">
      <w:pPr>
        <w:widowControl/>
        <w:autoSpaceDE/>
        <w:autoSpaceDN/>
        <w:jc w:val="both"/>
        <w:rPr>
          <w:rFonts w:asciiTheme="majorBidi" w:hAnsiTheme="majorBidi" w:cstheme="majorBidi"/>
        </w:rPr>
      </w:pPr>
      <w:r w:rsidRPr="0071098D">
        <w:rPr>
          <w:rFonts w:asciiTheme="majorBidi" w:hAnsiTheme="majorBidi" w:cstheme="majorBidi"/>
          <w14:ligatures w14:val="none"/>
        </w:rPr>
        <w:t xml:space="preserve">*Each ESG measure has a polarity indicating whether a higher value is positive or negative. </w:t>
      </w:r>
      <w:r w:rsidRPr="0071098D">
        <w:rPr>
          <w:rFonts w:asciiTheme="majorBidi" w:hAnsiTheme="majorBidi" w:cstheme="majorBidi"/>
        </w:rPr>
        <w:t>Companies with no controversies get a score of 100.</w:t>
      </w:r>
    </w:p>
    <w:p w14:paraId="3C8C0924" w14:textId="77777777" w:rsidR="00EA313E" w:rsidRDefault="00EA313E" w:rsidP="00EA313E">
      <w:pPr>
        <w:adjustRightInd w:val="0"/>
        <w:spacing w:line="480" w:lineRule="auto"/>
        <w:jc w:val="both"/>
        <w:rPr>
          <w:rFonts w:asciiTheme="majorBidi" w:hAnsiTheme="majorBidi" w:cstheme="majorBidi"/>
          <w:rtl/>
          <w:lang w:bidi="ar-JO"/>
        </w:rPr>
      </w:pPr>
    </w:p>
    <w:p w14:paraId="63478B68" w14:textId="77777777" w:rsidR="00EA313E" w:rsidRDefault="00EA313E" w:rsidP="00EA313E">
      <w:pPr>
        <w:adjustRightInd w:val="0"/>
        <w:spacing w:line="480" w:lineRule="auto"/>
        <w:jc w:val="both"/>
        <w:rPr>
          <w:rFonts w:asciiTheme="majorBidi" w:hAnsiTheme="majorBidi" w:cstheme="majorBidi"/>
        </w:rPr>
      </w:pPr>
    </w:p>
    <w:p w14:paraId="4ABC131C" w14:textId="77777777" w:rsidR="00EA313E" w:rsidRDefault="00EA313E" w:rsidP="00EA313E">
      <w:pPr>
        <w:adjustRightInd w:val="0"/>
        <w:spacing w:line="480" w:lineRule="auto"/>
        <w:jc w:val="both"/>
        <w:rPr>
          <w:rFonts w:asciiTheme="majorBidi" w:hAnsiTheme="majorBidi" w:cstheme="majorBidi"/>
        </w:rPr>
      </w:pPr>
    </w:p>
    <w:p w14:paraId="5510A8E6" w14:textId="77777777" w:rsidR="00495D4F" w:rsidRDefault="00495D4F" w:rsidP="00EA313E">
      <w:pPr>
        <w:adjustRightInd w:val="0"/>
        <w:spacing w:line="480" w:lineRule="auto"/>
        <w:jc w:val="both"/>
        <w:rPr>
          <w:rFonts w:asciiTheme="majorBidi" w:hAnsiTheme="majorBidi" w:cstheme="majorBidi"/>
        </w:rPr>
      </w:pPr>
    </w:p>
    <w:p w14:paraId="59BD3F01" w14:textId="4FC145F7" w:rsidR="00111D6B" w:rsidRDefault="00111D6B" w:rsidP="00111D6B">
      <w:pPr>
        <w:adjustRightInd w:val="0"/>
        <w:spacing w:line="480" w:lineRule="auto"/>
        <w:jc w:val="center"/>
        <w:rPr>
          <w:rFonts w:asciiTheme="majorBidi" w:hAnsiTheme="majorBidi" w:cstheme="majorBidi"/>
          <w:b/>
          <w:bCs/>
          <w14:ligatures w14:val="none"/>
        </w:rPr>
      </w:pPr>
      <w:r w:rsidRPr="00B67CC0">
        <w:rPr>
          <w:rFonts w:asciiTheme="majorBidi" w:hAnsiTheme="majorBidi" w:cstheme="majorBidi"/>
          <w:b/>
          <w:bCs/>
          <w14:ligatures w14:val="none"/>
        </w:rPr>
        <w:lastRenderedPageBreak/>
        <w:t xml:space="preserve">Table </w:t>
      </w:r>
      <w:r w:rsidR="00F81BAF">
        <w:rPr>
          <w:rFonts w:asciiTheme="majorBidi" w:hAnsiTheme="majorBidi" w:cstheme="majorBidi"/>
          <w:b/>
          <w:bCs/>
          <w14:ligatures w14:val="none"/>
        </w:rPr>
        <w:t>4</w:t>
      </w:r>
      <w:r w:rsidRPr="00B67CC0">
        <w:rPr>
          <w:rFonts w:asciiTheme="majorBidi" w:hAnsiTheme="majorBidi" w:cstheme="majorBidi"/>
          <w:b/>
          <w:bCs/>
          <w14:ligatures w14:val="none"/>
        </w:rPr>
        <w:t xml:space="preserve">: </w:t>
      </w:r>
      <w:r>
        <w:rPr>
          <w:rFonts w:asciiTheme="majorBidi" w:hAnsiTheme="majorBidi" w:cstheme="majorBidi"/>
          <w:b/>
          <w:bCs/>
          <w14:ligatures w14:val="none"/>
        </w:rPr>
        <w:t>Bond Spread</w:t>
      </w:r>
      <w:r w:rsidRPr="00B67CC0">
        <w:rPr>
          <w:rFonts w:asciiTheme="majorBidi" w:hAnsiTheme="majorBidi" w:cstheme="majorBidi"/>
          <w:b/>
          <w:bCs/>
          <w14:ligatures w14:val="none"/>
        </w:rPr>
        <w:t xml:space="preserve"> and ESG Performance</w:t>
      </w:r>
    </w:p>
    <w:p w14:paraId="71F328AA" w14:textId="0BA9F5F0" w:rsidR="00111D6B" w:rsidRDefault="00111D6B" w:rsidP="00111D6B">
      <w:pPr>
        <w:widowControl/>
        <w:autoSpaceDE/>
        <w:autoSpaceDN/>
        <w:rPr>
          <w:rFonts w:asciiTheme="majorBidi" w:hAnsiTheme="majorBidi" w:cstheme="majorBidi"/>
          <w:b/>
          <w:bCs/>
          <w14:ligatures w14:val="none"/>
        </w:rPr>
      </w:pPr>
      <w:r w:rsidRPr="005C4EB4">
        <w:rPr>
          <w:rFonts w:asciiTheme="majorBidi" w:hAnsiTheme="majorBidi" w:cstheme="majorBidi"/>
          <w:b/>
          <w:bCs/>
          <w14:ligatures w14:val="none"/>
        </w:rPr>
        <w:t>Heckman selection</w:t>
      </w:r>
    </w:p>
    <w:tbl>
      <w:tblPr>
        <w:tblW w:w="5000" w:type="pct"/>
        <w:tblBorders>
          <w:insideH w:val="single" w:sz="4" w:space="0" w:color="auto"/>
        </w:tblBorders>
        <w:tblLook w:val="04A0" w:firstRow="1" w:lastRow="0" w:firstColumn="1" w:lastColumn="0" w:noHBand="0" w:noVBand="1"/>
      </w:tblPr>
      <w:tblGrid>
        <w:gridCol w:w="2102"/>
        <w:gridCol w:w="2034"/>
        <w:gridCol w:w="1533"/>
        <w:gridCol w:w="1533"/>
        <w:gridCol w:w="1533"/>
        <w:gridCol w:w="1533"/>
        <w:gridCol w:w="1533"/>
        <w:gridCol w:w="1159"/>
      </w:tblGrid>
      <w:tr w:rsidR="00111D6B" w:rsidRPr="000E6A87" w14:paraId="5D4D99DC" w14:textId="77777777" w:rsidTr="00177909">
        <w:tc>
          <w:tcPr>
            <w:tcW w:w="745" w:type="pct"/>
            <w:tcBorders>
              <w:top w:val="double" w:sz="4" w:space="0" w:color="auto"/>
              <w:bottom w:val="single" w:sz="4" w:space="0" w:color="auto"/>
            </w:tcBorders>
            <w:shd w:val="clear" w:color="auto" w:fill="auto"/>
            <w:noWrap/>
            <w:vAlign w:val="bottom"/>
            <w:hideMark/>
          </w:tcPr>
          <w:p w14:paraId="186BED95" w14:textId="77777777" w:rsidR="00111D6B" w:rsidRPr="000E6A87" w:rsidRDefault="00111D6B" w:rsidP="0034479B">
            <w:pPr>
              <w:widowControl/>
              <w:autoSpaceDE/>
              <w:autoSpaceDN/>
              <w:rPr>
                <w:rFonts w:asciiTheme="majorBidi" w:hAnsiTheme="majorBidi" w:cstheme="majorBidi"/>
                <w:color w:val="000000"/>
                <w14:ligatures w14:val="none"/>
              </w:rPr>
            </w:pPr>
          </w:p>
        </w:tc>
        <w:tc>
          <w:tcPr>
            <w:tcW w:w="797" w:type="pct"/>
            <w:tcBorders>
              <w:top w:val="double" w:sz="4" w:space="0" w:color="auto"/>
              <w:bottom w:val="single" w:sz="4" w:space="0" w:color="auto"/>
            </w:tcBorders>
            <w:shd w:val="clear" w:color="auto" w:fill="auto"/>
            <w:noWrap/>
            <w:vAlign w:val="bottom"/>
            <w:hideMark/>
          </w:tcPr>
          <w:p w14:paraId="7F862F49"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7442BE">
              <w:t>Heckman selection</w:t>
            </w:r>
          </w:p>
        </w:tc>
        <w:tc>
          <w:tcPr>
            <w:tcW w:w="601" w:type="pct"/>
            <w:tcBorders>
              <w:top w:val="double" w:sz="4" w:space="0" w:color="auto"/>
              <w:bottom w:val="single" w:sz="4" w:space="0" w:color="auto"/>
            </w:tcBorders>
            <w:shd w:val="clear" w:color="auto" w:fill="auto"/>
            <w:noWrap/>
            <w:hideMark/>
          </w:tcPr>
          <w:p w14:paraId="59D112A2"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601" w:type="pct"/>
            <w:tcBorders>
              <w:top w:val="double" w:sz="4" w:space="0" w:color="auto"/>
              <w:bottom w:val="single" w:sz="4" w:space="0" w:color="auto"/>
            </w:tcBorders>
            <w:shd w:val="clear" w:color="auto" w:fill="auto"/>
            <w:noWrap/>
            <w:hideMark/>
          </w:tcPr>
          <w:p w14:paraId="44C4A84B"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601" w:type="pct"/>
            <w:tcBorders>
              <w:top w:val="double" w:sz="4" w:space="0" w:color="auto"/>
              <w:bottom w:val="single" w:sz="4" w:space="0" w:color="auto"/>
            </w:tcBorders>
            <w:shd w:val="clear" w:color="auto" w:fill="auto"/>
            <w:noWrap/>
            <w:hideMark/>
          </w:tcPr>
          <w:p w14:paraId="47791E1C"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601" w:type="pct"/>
            <w:tcBorders>
              <w:top w:val="double" w:sz="4" w:space="0" w:color="auto"/>
              <w:bottom w:val="single" w:sz="4" w:space="0" w:color="auto"/>
            </w:tcBorders>
            <w:shd w:val="clear" w:color="auto" w:fill="auto"/>
            <w:noWrap/>
            <w:hideMark/>
          </w:tcPr>
          <w:p w14:paraId="0C850259"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601" w:type="pct"/>
            <w:tcBorders>
              <w:top w:val="double" w:sz="4" w:space="0" w:color="auto"/>
              <w:bottom w:val="single" w:sz="4" w:space="0" w:color="auto"/>
            </w:tcBorders>
            <w:shd w:val="clear" w:color="auto" w:fill="auto"/>
            <w:noWrap/>
            <w:hideMark/>
          </w:tcPr>
          <w:p w14:paraId="65B7D291"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454" w:type="pct"/>
            <w:tcBorders>
              <w:top w:val="double" w:sz="4" w:space="0" w:color="auto"/>
              <w:bottom w:val="single" w:sz="4" w:space="0" w:color="auto"/>
            </w:tcBorders>
          </w:tcPr>
          <w:p w14:paraId="5815F465"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r>
      <w:tr w:rsidR="00111D6B" w:rsidRPr="000E6A87" w14:paraId="392AA3C1" w14:textId="77777777" w:rsidTr="00177909">
        <w:tc>
          <w:tcPr>
            <w:tcW w:w="745" w:type="pct"/>
            <w:tcBorders>
              <w:top w:val="single" w:sz="4" w:space="0" w:color="auto"/>
              <w:bottom w:val="double" w:sz="4" w:space="0" w:color="auto"/>
            </w:tcBorders>
            <w:shd w:val="clear" w:color="auto" w:fill="auto"/>
            <w:noWrap/>
            <w:vAlign w:val="bottom"/>
          </w:tcPr>
          <w:p w14:paraId="05147E98" w14:textId="77777777" w:rsidR="00111D6B" w:rsidRPr="000E6A87" w:rsidRDefault="00111D6B" w:rsidP="0034479B">
            <w:pPr>
              <w:widowControl/>
              <w:autoSpaceDE/>
              <w:autoSpaceDN/>
              <w:rPr>
                <w:rFonts w:asciiTheme="majorBidi" w:hAnsiTheme="majorBidi" w:cstheme="majorBidi"/>
                <w:color w:val="000000"/>
                <w14:ligatures w14:val="none"/>
              </w:rPr>
            </w:pPr>
            <w:r w:rsidRPr="000E6A87">
              <w:rPr>
                <w:rFonts w:asciiTheme="majorBidi" w:hAnsiTheme="majorBidi" w:cstheme="majorBidi"/>
                <w:color w:val="000000"/>
                <w14:ligatures w14:val="none"/>
              </w:rPr>
              <w:t>Variables</w:t>
            </w:r>
          </w:p>
        </w:tc>
        <w:tc>
          <w:tcPr>
            <w:tcW w:w="797" w:type="pct"/>
            <w:tcBorders>
              <w:top w:val="single" w:sz="4" w:space="0" w:color="auto"/>
              <w:bottom w:val="double" w:sz="4" w:space="0" w:color="auto"/>
            </w:tcBorders>
            <w:shd w:val="clear" w:color="auto" w:fill="auto"/>
            <w:noWrap/>
            <w:vAlign w:val="bottom"/>
          </w:tcPr>
          <w:p w14:paraId="7E492F62" w14:textId="77777777" w:rsidR="00111D6B" w:rsidRPr="007442BE" w:rsidRDefault="00111D6B" w:rsidP="0034479B">
            <w:pPr>
              <w:widowControl/>
              <w:autoSpaceDE/>
              <w:autoSpaceDN/>
              <w:ind w:left="222"/>
            </w:pPr>
            <w:r w:rsidRPr="007442BE">
              <w:t>First-stage</w:t>
            </w:r>
          </w:p>
        </w:tc>
        <w:tc>
          <w:tcPr>
            <w:tcW w:w="601" w:type="pct"/>
            <w:tcBorders>
              <w:top w:val="single" w:sz="4" w:space="0" w:color="auto"/>
              <w:bottom w:val="double" w:sz="4" w:space="0" w:color="auto"/>
            </w:tcBorders>
            <w:shd w:val="clear" w:color="auto" w:fill="auto"/>
            <w:noWrap/>
          </w:tcPr>
          <w:p w14:paraId="58ABBC36"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7442BE">
              <w:t>Second</w:t>
            </w:r>
            <w:r>
              <w:t xml:space="preserve"> </w:t>
            </w:r>
            <w:r w:rsidRPr="007442BE">
              <w:t xml:space="preserve">stage </w:t>
            </w:r>
          </w:p>
        </w:tc>
        <w:tc>
          <w:tcPr>
            <w:tcW w:w="601" w:type="pct"/>
            <w:tcBorders>
              <w:top w:val="single" w:sz="4" w:space="0" w:color="auto"/>
              <w:bottom w:val="double" w:sz="4" w:space="0" w:color="auto"/>
            </w:tcBorders>
            <w:shd w:val="clear" w:color="auto" w:fill="auto"/>
            <w:noWrap/>
          </w:tcPr>
          <w:p w14:paraId="4F6035F6"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147240">
              <w:t>Second stage</w:t>
            </w:r>
          </w:p>
        </w:tc>
        <w:tc>
          <w:tcPr>
            <w:tcW w:w="601" w:type="pct"/>
            <w:tcBorders>
              <w:top w:val="single" w:sz="4" w:space="0" w:color="auto"/>
              <w:bottom w:val="double" w:sz="4" w:space="0" w:color="auto"/>
            </w:tcBorders>
            <w:shd w:val="clear" w:color="auto" w:fill="auto"/>
            <w:noWrap/>
          </w:tcPr>
          <w:p w14:paraId="3903101C"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147240">
              <w:t>Second stage</w:t>
            </w:r>
          </w:p>
        </w:tc>
        <w:tc>
          <w:tcPr>
            <w:tcW w:w="601" w:type="pct"/>
            <w:tcBorders>
              <w:top w:val="single" w:sz="4" w:space="0" w:color="auto"/>
              <w:bottom w:val="double" w:sz="4" w:space="0" w:color="auto"/>
            </w:tcBorders>
            <w:shd w:val="clear" w:color="auto" w:fill="auto"/>
            <w:noWrap/>
          </w:tcPr>
          <w:p w14:paraId="458DD1AC"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147240">
              <w:t>Second stage</w:t>
            </w:r>
          </w:p>
        </w:tc>
        <w:tc>
          <w:tcPr>
            <w:tcW w:w="601" w:type="pct"/>
            <w:tcBorders>
              <w:top w:val="single" w:sz="4" w:space="0" w:color="auto"/>
              <w:bottom w:val="double" w:sz="4" w:space="0" w:color="auto"/>
            </w:tcBorders>
            <w:shd w:val="clear" w:color="auto" w:fill="auto"/>
            <w:noWrap/>
          </w:tcPr>
          <w:p w14:paraId="6CB1829B"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147240">
              <w:t>Second stage</w:t>
            </w:r>
          </w:p>
        </w:tc>
        <w:tc>
          <w:tcPr>
            <w:tcW w:w="454" w:type="pct"/>
            <w:tcBorders>
              <w:top w:val="single" w:sz="4" w:space="0" w:color="auto"/>
              <w:bottom w:val="double" w:sz="4" w:space="0" w:color="auto"/>
            </w:tcBorders>
          </w:tcPr>
          <w:p w14:paraId="70EC6D51" w14:textId="77777777" w:rsidR="00111D6B" w:rsidRPr="007442BE" w:rsidRDefault="00111D6B" w:rsidP="0034479B">
            <w:pPr>
              <w:widowControl/>
              <w:autoSpaceDE/>
              <w:autoSpaceDN/>
              <w:ind w:left="222"/>
              <w:rPr>
                <w:rFonts w:asciiTheme="majorBidi" w:hAnsiTheme="majorBidi" w:cstheme="majorBidi"/>
                <w:color w:val="000000"/>
                <w14:ligatures w14:val="none"/>
              </w:rPr>
            </w:pPr>
            <w:r w:rsidRPr="00147240">
              <w:t>Second stage</w:t>
            </w:r>
          </w:p>
        </w:tc>
      </w:tr>
      <w:tr w:rsidR="00177909" w:rsidRPr="000E6A87" w14:paraId="7BF99F31" w14:textId="77777777" w:rsidTr="00177909">
        <w:tc>
          <w:tcPr>
            <w:tcW w:w="745" w:type="pct"/>
            <w:tcBorders>
              <w:top w:val="double" w:sz="4" w:space="0" w:color="auto"/>
            </w:tcBorders>
            <w:shd w:val="clear" w:color="auto" w:fill="auto"/>
            <w:noWrap/>
            <w:vAlign w:val="center"/>
            <w:hideMark/>
          </w:tcPr>
          <w:p w14:paraId="33D8E92C" w14:textId="4CFA2126" w:rsidR="00177909" w:rsidRPr="004709F5" w:rsidRDefault="00177909" w:rsidP="00177909">
            <w:pPr>
              <w:widowControl/>
              <w:autoSpaceDE/>
              <w:autoSpaceDN/>
              <w:rPr>
                <w:rFonts w:asciiTheme="majorBidi" w:hAnsiTheme="majorBidi" w:cstheme="majorBidi"/>
                <w:color w:val="000000"/>
                <w14:ligatures w14:val="none"/>
              </w:rPr>
            </w:pPr>
            <w:r>
              <w:rPr>
                <w:color w:val="000000"/>
              </w:rPr>
              <w:t>Issuer Size</w:t>
            </w:r>
          </w:p>
        </w:tc>
        <w:tc>
          <w:tcPr>
            <w:tcW w:w="797" w:type="pct"/>
            <w:tcBorders>
              <w:top w:val="double" w:sz="4" w:space="0" w:color="auto"/>
            </w:tcBorders>
            <w:shd w:val="clear" w:color="auto" w:fill="auto"/>
            <w:noWrap/>
            <w:vAlign w:val="bottom"/>
            <w:hideMark/>
          </w:tcPr>
          <w:p w14:paraId="23761075" w14:textId="6B4AB35A" w:rsidR="00177909" w:rsidRPr="0005636E" w:rsidRDefault="00177909" w:rsidP="00177909">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0.435**</w:t>
            </w:r>
          </w:p>
        </w:tc>
        <w:tc>
          <w:tcPr>
            <w:tcW w:w="601" w:type="pct"/>
            <w:tcBorders>
              <w:top w:val="double" w:sz="4" w:space="0" w:color="auto"/>
            </w:tcBorders>
            <w:shd w:val="clear" w:color="auto" w:fill="auto"/>
            <w:noWrap/>
            <w:vAlign w:val="bottom"/>
            <w:hideMark/>
          </w:tcPr>
          <w:p w14:paraId="03621952" w14:textId="51B66F4D"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-0.157**</w:t>
            </w:r>
          </w:p>
        </w:tc>
        <w:tc>
          <w:tcPr>
            <w:tcW w:w="601" w:type="pct"/>
            <w:tcBorders>
              <w:top w:val="double" w:sz="4" w:space="0" w:color="auto"/>
            </w:tcBorders>
            <w:shd w:val="clear" w:color="auto" w:fill="auto"/>
            <w:noWrap/>
            <w:vAlign w:val="bottom"/>
            <w:hideMark/>
          </w:tcPr>
          <w:p w14:paraId="657216D5" w14:textId="3E8A9176"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-0.156**</w:t>
            </w:r>
          </w:p>
        </w:tc>
        <w:tc>
          <w:tcPr>
            <w:tcW w:w="601" w:type="pct"/>
            <w:tcBorders>
              <w:top w:val="double" w:sz="4" w:space="0" w:color="auto"/>
            </w:tcBorders>
            <w:shd w:val="clear" w:color="auto" w:fill="auto"/>
            <w:noWrap/>
            <w:vAlign w:val="bottom"/>
            <w:hideMark/>
          </w:tcPr>
          <w:p w14:paraId="64E2E47C" w14:textId="15F47F29"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-0.12**</w:t>
            </w:r>
          </w:p>
        </w:tc>
        <w:tc>
          <w:tcPr>
            <w:tcW w:w="601" w:type="pct"/>
            <w:tcBorders>
              <w:top w:val="double" w:sz="4" w:space="0" w:color="auto"/>
            </w:tcBorders>
            <w:shd w:val="clear" w:color="auto" w:fill="auto"/>
            <w:noWrap/>
            <w:vAlign w:val="bottom"/>
            <w:hideMark/>
          </w:tcPr>
          <w:p w14:paraId="6F645398" w14:textId="3CA45E59"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-0.127**</w:t>
            </w:r>
          </w:p>
        </w:tc>
        <w:tc>
          <w:tcPr>
            <w:tcW w:w="601" w:type="pct"/>
            <w:tcBorders>
              <w:top w:val="double" w:sz="4" w:space="0" w:color="auto"/>
            </w:tcBorders>
            <w:shd w:val="clear" w:color="auto" w:fill="auto"/>
            <w:noWrap/>
            <w:vAlign w:val="bottom"/>
            <w:hideMark/>
          </w:tcPr>
          <w:p w14:paraId="76E7D34B" w14:textId="6EE88AA1"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-0.122**</w:t>
            </w:r>
          </w:p>
        </w:tc>
        <w:tc>
          <w:tcPr>
            <w:tcW w:w="454" w:type="pct"/>
            <w:tcBorders>
              <w:top w:val="double" w:sz="4" w:space="0" w:color="auto"/>
            </w:tcBorders>
            <w:vAlign w:val="bottom"/>
          </w:tcPr>
          <w:p w14:paraId="36A1E5CC" w14:textId="2FBE15F2"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-0.145**</w:t>
            </w:r>
          </w:p>
        </w:tc>
      </w:tr>
      <w:tr w:rsidR="00177909" w:rsidRPr="000E6A87" w14:paraId="2FA33597" w14:textId="77777777" w:rsidTr="00177909">
        <w:tc>
          <w:tcPr>
            <w:tcW w:w="745" w:type="pct"/>
            <w:shd w:val="clear" w:color="auto" w:fill="auto"/>
            <w:noWrap/>
            <w:vAlign w:val="center"/>
            <w:hideMark/>
          </w:tcPr>
          <w:p w14:paraId="325D2412" w14:textId="43ACDCAC" w:rsidR="00177909" w:rsidRPr="004709F5" w:rsidRDefault="00177909" w:rsidP="00177909">
            <w:pPr>
              <w:widowControl/>
              <w:autoSpaceDE/>
              <w:autoSpaceDN/>
              <w:rPr>
                <w:rFonts w:asciiTheme="majorBidi" w:hAnsiTheme="majorBidi" w:cstheme="majorBidi"/>
                <w:color w:val="000000"/>
                <w14:ligatures w14:val="none"/>
              </w:rPr>
            </w:pPr>
            <w:r>
              <w:rPr>
                <w:color w:val="000000"/>
              </w:rPr>
              <w:t>Leverage</w:t>
            </w:r>
          </w:p>
        </w:tc>
        <w:tc>
          <w:tcPr>
            <w:tcW w:w="797" w:type="pct"/>
            <w:shd w:val="clear" w:color="auto" w:fill="auto"/>
            <w:noWrap/>
            <w:vAlign w:val="bottom"/>
            <w:hideMark/>
          </w:tcPr>
          <w:p w14:paraId="3A3D9763" w14:textId="197BF886" w:rsidR="00177909" w:rsidRPr="0005636E" w:rsidRDefault="00177909" w:rsidP="00177909">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-0.005**</w:t>
            </w:r>
          </w:p>
        </w:tc>
        <w:tc>
          <w:tcPr>
            <w:tcW w:w="601" w:type="pct"/>
            <w:shd w:val="clear" w:color="auto" w:fill="auto"/>
            <w:noWrap/>
            <w:vAlign w:val="bottom"/>
            <w:hideMark/>
          </w:tcPr>
          <w:p w14:paraId="67E58A6D" w14:textId="6774A988"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0.007**</w:t>
            </w:r>
          </w:p>
        </w:tc>
        <w:tc>
          <w:tcPr>
            <w:tcW w:w="601" w:type="pct"/>
            <w:shd w:val="clear" w:color="auto" w:fill="auto"/>
            <w:noWrap/>
            <w:vAlign w:val="bottom"/>
            <w:hideMark/>
          </w:tcPr>
          <w:p w14:paraId="6BFC7327" w14:textId="5C478902"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0.006**</w:t>
            </w:r>
          </w:p>
        </w:tc>
        <w:tc>
          <w:tcPr>
            <w:tcW w:w="601" w:type="pct"/>
            <w:shd w:val="clear" w:color="auto" w:fill="auto"/>
            <w:noWrap/>
            <w:vAlign w:val="bottom"/>
            <w:hideMark/>
          </w:tcPr>
          <w:p w14:paraId="4EDA8D2A" w14:textId="5EEE0A86"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0.007**</w:t>
            </w:r>
          </w:p>
        </w:tc>
        <w:tc>
          <w:tcPr>
            <w:tcW w:w="601" w:type="pct"/>
            <w:shd w:val="clear" w:color="auto" w:fill="auto"/>
            <w:noWrap/>
            <w:vAlign w:val="bottom"/>
            <w:hideMark/>
          </w:tcPr>
          <w:p w14:paraId="3166509C" w14:textId="190029F8"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0.007**</w:t>
            </w:r>
          </w:p>
        </w:tc>
        <w:tc>
          <w:tcPr>
            <w:tcW w:w="601" w:type="pct"/>
            <w:shd w:val="clear" w:color="auto" w:fill="auto"/>
            <w:noWrap/>
            <w:vAlign w:val="bottom"/>
            <w:hideMark/>
          </w:tcPr>
          <w:p w14:paraId="3D2F4E08" w14:textId="3BC911D0"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0.007**</w:t>
            </w:r>
          </w:p>
        </w:tc>
        <w:tc>
          <w:tcPr>
            <w:tcW w:w="454" w:type="pct"/>
            <w:vAlign w:val="bottom"/>
          </w:tcPr>
          <w:p w14:paraId="5AD16F2F" w14:textId="123842A1"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0.006**</w:t>
            </w:r>
          </w:p>
        </w:tc>
      </w:tr>
      <w:tr w:rsidR="00177909" w:rsidRPr="000E6A87" w14:paraId="4F80A320" w14:textId="77777777" w:rsidTr="00177909">
        <w:tc>
          <w:tcPr>
            <w:tcW w:w="745" w:type="pct"/>
            <w:shd w:val="clear" w:color="auto" w:fill="auto"/>
            <w:noWrap/>
            <w:vAlign w:val="bottom"/>
            <w:hideMark/>
          </w:tcPr>
          <w:p w14:paraId="234BC1B1" w14:textId="06E3AAB6" w:rsidR="00177909" w:rsidRPr="004709F5" w:rsidRDefault="00177909" w:rsidP="00177909">
            <w:pPr>
              <w:widowControl/>
              <w:autoSpaceDE/>
              <w:autoSpaceDN/>
              <w:rPr>
                <w:rFonts w:asciiTheme="majorBidi" w:hAnsiTheme="majorBidi" w:cstheme="majorBidi"/>
                <w:color w:val="000000"/>
                <w14:ligatures w14:val="none"/>
              </w:rPr>
            </w:pPr>
            <w:proofErr w:type="spellStart"/>
            <w:r>
              <w:rPr>
                <w:rFonts w:ascii="Aptos Narrow" w:hAnsi="Aptos Narrow"/>
                <w:color w:val="000000"/>
              </w:rPr>
              <w:t>AltimaZ</w:t>
            </w:r>
            <w:proofErr w:type="spellEnd"/>
          </w:p>
        </w:tc>
        <w:tc>
          <w:tcPr>
            <w:tcW w:w="797" w:type="pct"/>
            <w:shd w:val="clear" w:color="auto" w:fill="auto"/>
            <w:noWrap/>
            <w:vAlign w:val="bottom"/>
            <w:hideMark/>
          </w:tcPr>
          <w:p w14:paraId="2C5262FE" w14:textId="3CD5B163" w:rsidR="00177909" w:rsidRPr="0005636E" w:rsidRDefault="00177909" w:rsidP="00177909">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0.013**</w:t>
            </w:r>
          </w:p>
        </w:tc>
        <w:tc>
          <w:tcPr>
            <w:tcW w:w="601" w:type="pct"/>
            <w:shd w:val="clear" w:color="auto" w:fill="auto"/>
            <w:noWrap/>
            <w:vAlign w:val="bottom"/>
            <w:hideMark/>
          </w:tcPr>
          <w:p w14:paraId="6FAC6CE2" w14:textId="17312DBB"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44DA064C" w14:textId="54B414F5"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7B307689" w14:textId="1B94D36C"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0D405950" w14:textId="377F9699"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78AF0922" w14:textId="34C1468C"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454" w:type="pct"/>
            <w:vAlign w:val="bottom"/>
          </w:tcPr>
          <w:p w14:paraId="6DFE4A98" w14:textId="75BC2FF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r>
      <w:tr w:rsidR="00177909" w:rsidRPr="000E6A87" w14:paraId="1D6DDC39" w14:textId="77777777" w:rsidTr="00177909">
        <w:tc>
          <w:tcPr>
            <w:tcW w:w="745" w:type="pct"/>
            <w:shd w:val="clear" w:color="auto" w:fill="auto"/>
            <w:noWrap/>
            <w:vAlign w:val="center"/>
            <w:hideMark/>
          </w:tcPr>
          <w:p w14:paraId="14FEF0D9" w14:textId="285E28DA" w:rsidR="00177909" w:rsidRPr="004709F5" w:rsidRDefault="00177909" w:rsidP="00177909">
            <w:pPr>
              <w:widowControl/>
              <w:autoSpaceDE/>
              <w:autoSpaceDN/>
              <w:rPr>
                <w:rFonts w:asciiTheme="majorBidi" w:hAnsiTheme="majorBidi" w:cstheme="majorBidi"/>
                <w:color w:val="000000"/>
                <w14:ligatures w14:val="none"/>
              </w:rPr>
            </w:pPr>
            <w:r>
              <w:t>Return on Assets</w:t>
            </w:r>
          </w:p>
        </w:tc>
        <w:tc>
          <w:tcPr>
            <w:tcW w:w="797" w:type="pct"/>
            <w:shd w:val="clear" w:color="auto" w:fill="auto"/>
            <w:noWrap/>
            <w:vAlign w:val="bottom"/>
            <w:hideMark/>
          </w:tcPr>
          <w:p w14:paraId="136A6FBB" w14:textId="47DC7A2F" w:rsidR="00177909" w:rsidRPr="0005636E" w:rsidRDefault="00177909" w:rsidP="00177909">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0.017**</w:t>
            </w:r>
          </w:p>
        </w:tc>
        <w:tc>
          <w:tcPr>
            <w:tcW w:w="601" w:type="pct"/>
            <w:shd w:val="clear" w:color="auto" w:fill="auto"/>
            <w:noWrap/>
            <w:vAlign w:val="bottom"/>
            <w:hideMark/>
          </w:tcPr>
          <w:p w14:paraId="754D0391" w14:textId="201BA1E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-0.023**</w:t>
            </w:r>
          </w:p>
        </w:tc>
        <w:tc>
          <w:tcPr>
            <w:tcW w:w="601" w:type="pct"/>
            <w:shd w:val="clear" w:color="auto" w:fill="auto"/>
            <w:noWrap/>
            <w:vAlign w:val="bottom"/>
            <w:hideMark/>
          </w:tcPr>
          <w:p w14:paraId="268EB914" w14:textId="3E4DAE6E"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-0.023**</w:t>
            </w:r>
          </w:p>
        </w:tc>
        <w:tc>
          <w:tcPr>
            <w:tcW w:w="601" w:type="pct"/>
            <w:shd w:val="clear" w:color="auto" w:fill="auto"/>
            <w:noWrap/>
            <w:vAlign w:val="bottom"/>
            <w:hideMark/>
          </w:tcPr>
          <w:p w14:paraId="4C5F0137" w14:textId="64A8D75E"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-0.022**</w:t>
            </w:r>
          </w:p>
        </w:tc>
        <w:tc>
          <w:tcPr>
            <w:tcW w:w="601" w:type="pct"/>
            <w:shd w:val="clear" w:color="auto" w:fill="auto"/>
            <w:noWrap/>
            <w:vAlign w:val="bottom"/>
            <w:hideMark/>
          </w:tcPr>
          <w:p w14:paraId="73BE89B9" w14:textId="1061A84E"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-0.023**</w:t>
            </w:r>
          </w:p>
        </w:tc>
        <w:tc>
          <w:tcPr>
            <w:tcW w:w="601" w:type="pct"/>
            <w:shd w:val="clear" w:color="auto" w:fill="auto"/>
            <w:noWrap/>
            <w:vAlign w:val="bottom"/>
            <w:hideMark/>
          </w:tcPr>
          <w:p w14:paraId="6FB669E0" w14:textId="5DE22E14"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-0.022**</w:t>
            </w:r>
          </w:p>
        </w:tc>
        <w:tc>
          <w:tcPr>
            <w:tcW w:w="454" w:type="pct"/>
            <w:vAlign w:val="bottom"/>
          </w:tcPr>
          <w:p w14:paraId="4408B754" w14:textId="53409AAE"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-0.023**</w:t>
            </w:r>
          </w:p>
        </w:tc>
      </w:tr>
      <w:tr w:rsidR="00177909" w:rsidRPr="000E6A87" w14:paraId="00AF4D43" w14:textId="77777777" w:rsidTr="00177909">
        <w:tc>
          <w:tcPr>
            <w:tcW w:w="745" w:type="pct"/>
            <w:shd w:val="clear" w:color="auto" w:fill="auto"/>
            <w:noWrap/>
            <w:vAlign w:val="bottom"/>
            <w:hideMark/>
          </w:tcPr>
          <w:p w14:paraId="1AA62DDB" w14:textId="3686737B" w:rsidR="00177909" w:rsidRPr="004709F5" w:rsidRDefault="00177909" w:rsidP="00177909">
            <w:pPr>
              <w:widowControl/>
              <w:autoSpaceDE/>
              <w:autoSpaceDN/>
              <w:rPr>
                <w:rFonts w:asciiTheme="majorBidi" w:hAnsiTheme="majorBidi" w:cstheme="majorBidi"/>
                <w:color w:val="000000"/>
                <w14:ligatures w14:val="none"/>
              </w:rPr>
            </w:pPr>
            <w:r>
              <w:rPr>
                <w:rFonts w:ascii="Aptos Narrow" w:hAnsi="Aptos Narrow"/>
                <w:color w:val="000000"/>
              </w:rPr>
              <w:t>Big4</w:t>
            </w:r>
          </w:p>
        </w:tc>
        <w:tc>
          <w:tcPr>
            <w:tcW w:w="797" w:type="pct"/>
            <w:shd w:val="clear" w:color="auto" w:fill="auto"/>
            <w:noWrap/>
            <w:vAlign w:val="bottom"/>
            <w:hideMark/>
          </w:tcPr>
          <w:p w14:paraId="7439F868" w14:textId="7674FE14" w:rsidR="00177909" w:rsidRPr="0005636E" w:rsidRDefault="00177909" w:rsidP="00177909">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0.379**</w:t>
            </w:r>
          </w:p>
        </w:tc>
        <w:tc>
          <w:tcPr>
            <w:tcW w:w="601" w:type="pct"/>
            <w:shd w:val="clear" w:color="auto" w:fill="auto"/>
            <w:vAlign w:val="bottom"/>
          </w:tcPr>
          <w:p w14:paraId="6EFBA36B" w14:textId="30443FB5"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0.023</w:t>
            </w:r>
          </w:p>
        </w:tc>
        <w:tc>
          <w:tcPr>
            <w:tcW w:w="601" w:type="pct"/>
            <w:shd w:val="clear" w:color="auto" w:fill="auto"/>
            <w:noWrap/>
            <w:vAlign w:val="bottom"/>
            <w:hideMark/>
          </w:tcPr>
          <w:p w14:paraId="46B9209A" w14:textId="300DF806"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0.024</w:t>
            </w:r>
          </w:p>
        </w:tc>
        <w:tc>
          <w:tcPr>
            <w:tcW w:w="601" w:type="pct"/>
            <w:shd w:val="clear" w:color="auto" w:fill="auto"/>
            <w:noWrap/>
            <w:vAlign w:val="bottom"/>
            <w:hideMark/>
          </w:tcPr>
          <w:p w14:paraId="4724A0F7" w14:textId="0AEFBCC3"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0.029</w:t>
            </w:r>
          </w:p>
        </w:tc>
        <w:tc>
          <w:tcPr>
            <w:tcW w:w="601" w:type="pct"/>
            <w:shd w:val="clear" w:color="auto" w:fill="auto"/>
            <w:noWrap/>
            <w:vAlign w:val="bottom"/>
            <w:hideMark/>
          </w:tcPr>
          <w:p w14:paraId="63400895" w14:textId="0A59AD7D"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0.024</w:t>
            </w:r>
          </w:p>
        </w:tc>
        <w:tc>
          <w:tcPr>
            <w:tcW w:w="601" w:type="pct"/>
            <w:shd w:val="clear" w:color="auto" w:fill="auto"/>
            <w:noWrap/>
            <w:vAlign w:val="bottom"/>
            <w:hideMark/>
          </w:tcPr>
          <w:p w14:paraId="2A9628B4" w14:textId="09D8AC94"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0.018</w:t>
            </w:r>
          </w:p>
        </w:tc>
        <w:tc>
          <w:tcPr>
            <w:tcW w:w="454" w:type="pct"/>
            <w:vAlign w:val="bottom"/>
          </w:tcPr>
          <w:p w14:paraId="5DA43C6F" w14:textId="29BBCB46"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0.029</w:t>
            </w:r>
          </w:p>
        </w:tc>
      </w:tr>
      <w:tr w:rsidR="00177909" w:rsidRPr="000E6A87" w14:paraId="3FA4A925" w14:textId="77777777" w:rsidTr="00177909">
        <w:tc>
          <w:tcPr>
            <w:tcW w:w="745" w:type="pct"/>
            <w:shd w:val="clear" w:color="auto" w:fill="auto"/>
            <w:noWrap/>
            <w:vAlign w:val="center"/>
            <w:hideMark/>
          </w:tcPr>
          <w:p w14:paraId="6033BC22" w14:textId="4803C448" w:rsidR="00177909" w:rsidRPr="004709F5" w:rsidRDefault="00177909" w:rsidP="00177909">
            <w:pPr>
              <w:widowControl/>
              <w:autoSpaceDE/>
              <w:autoSpaceDN/>
              <w:ind w:right="-195"/>
              <w:rPr>
                <w:rFonts w:asciiTheme="majorBidi" w:hAnsiTheme="majorBidi" w:cstheme="majorBidi"/>
                <w:color w:val="000000"/>
                <w14:ligatures w14:val="none"/>
              </w:rPr>
            </w:pPr>
            <w:r>
              <w:rPr>
                <w:color w:val="000000"/>
              </w:rPr>
              <w:t>ESG Combined *</w:t>
            </w:r>
          </w:p>
        </w:tc>
        <w:tc>
          <w:tcPr>
            <w:tcW w:w="797" w:type="pct"/>
            <w:shd w:val="clear" w:color="auto" w:fill="auto"/>
            <w:noWrap/>
            <w:vAlign w:val="bottom"/>
            <w:hideMark/>
          </w:tcPr>
          <w:p w14:paraId="3BC5586B" w14:textId="77777777"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shd w:val="clear" w:color="auto" w:fill="auto"/>
            <w:noWrap/>
            <w:vAlign w:val="bottom"/>
            <w:hideMark/>
          </w:tcPr>
          <w:p w14:paraId="1CDDCDAD" w14:textId="035686CE"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-0.004**</w:t>
            </w:r>
          </w:p>
        </w:tc>
        <w:tc>
          <w:tcPr>
            <w:tcW w:w="601" w:type="pct"/>
            <w:shd w:val="clear" w:color="auto" w:fill="auto"/>
            <w:noWrap/>
            <w:vAlign w:val="bottom"/>
            <w:hideMark/>
          </w:tcPr>
          <w:p w14:paraId="0428204C" w14:textId="3E1E38D8"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126BAACD"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47842DE0"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34E0B514"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454" w:type="pct"/>
            <w:vAlign w:val="bottom"/>
          </w:tcPr>
          <w:p w14:paraId="2B8F9DC7"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r>
      <w:tr w:rsidR="00177909" w:rsidRPr="000E6A87" w14:paraId="57AD2A49" w14:textId="77777777" w:rsidTr="00177909">
        <w:tc>
          <w:tcPr>
            <w:tcW w:w="745" w:type="pct"/>
            <w:shd w:val="clear" w:color="auto" w:fill="auto"/>
            <w:noWrap/>
            <w:vAlign w:val="center"/>
            <w:hideMark/>
          </w:tcPr>
          <w:p w14:paraId="2AF9BFB8" w14:textId="6AD2361B" w:rsidR="00177909" w:rsidRPr="004709F5" w:rsidRDefault="00177909" w:rsidP="00177909">
            <w:pPr>
              <w:widowControl/>
              <w:autoSpaceDE/>
              <w:autoSpaceDN/>
              <w:rPr>
                <w:rFonts w:asciiTheme="majorBidi" w:hAnsiTheme="majorBidi" w:cstheme="majorBidi"/>
                <w:color w:val="000000"/>
                <w14:ligatures w14:val="none"/>
              </w:rPr>
            </w:pPr>
            <w:r>
              <w:rPr>
                <w:color w:val="000000"/>
              </w:rPr>
              <w:t xml:space="preserve">  ESG Controversies </w:t>
            </w:r>
          </w:p>
        </w:tc>
        <w:tc>
          <w:tcPr>
            <w:tcW w:w="797" w:type="pct"/>
            <w:shd w:val="clear" w:color="auto" w:fill="auto"/>
            <w:noWrap/>
            <w:vAlign w:val="bottom"/>
            <w:hideMark/>
          </w:tcPr>
          <w:p w14:paraId="4A3CB010" w14:textId="77777777"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shd w:val="clear" w:color="auto" w:fill="auto"/>
            <w:noWrap/>
            <w:vAlign w:val="bottom"/>
            <w:hideMark/>
          </w:tcPr>
          <w:p w14:paraId="153B34D3"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1B66426B" w14:textId="4DD5219B"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w:t>
            </w:r>
          </w:p>
        </w:tc>
        <w:tc>
          <w:tcPr>
            <w:tcW w:w="601" w:type="pct"/>
            <w:shd w:val="clear" w:color="auto" w:fill="auto"/>
            <w:vAlign w:val="bottom"/>
          </w:tcPr>
          <w:p w14:paraId="3D0ECC74" w14:textId="0C97A781"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7BC63FD9"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7F8C737F"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454" w:type="pct"/>
            <w:vAlign w:val="bottom"/>
          </w:tcPr>
          <w:p w14:paraId="4A37BF27"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r>
      <w:tr w:rsidR="00177909" w:rsidRPr="000E6A87" w14:paraId="176CC3D3" w14:textId="77777777" w:rsidTr="00177909">
        <w:tc>
          <w:tcPr>
            <w:tcW w:w="745" w:type="pct"/>
            <w:shd w:val="clear" w:color="auto" w:fill="auto"/>
            <w:noWrap/>
            <w:vAlign w:val="center"/>
            <w:hideMark/>
          </w:tcPr>
          <w:p w14:paraId="293C1AAC" w14:textId="66135966" w:rsidR="00177909" w:rsidRPr="004709F5" w:rsidRDefault="00177909" w:rsidP="00177909">
            <w:pPr>
              <w:widowControl/>
              <w:autoSpaceDE/>
              <w:autoSpaceDN/>
              <w:rPr>
                <w:rFonts w:asciiTheme="majorBidi" w:hAnsiTheme="majorBidi" w:cstheme="majorBidi"/>
                <w:color w:val="000000"/>
                <w14:ligatures w14:val="none"/>
              </w:rPr>
            </w:pPr>
            <w:r>
              <w:rPr>
                <w:color w:val="000000"/>
              </w:rPr>
              <w:t xml:space="preserve">  ESG </w:t>
            </w:r>
          </w:p>
        </w:tc>
        <w:tc>
          <w:tcPr>
            <w:tcW w:w="797" w:type="pct"/>
            <w:shd w:val="clear" w:color="auto" w:fill="auto"/>
            <w:noWrap/>
            <w:vAlign w:val="bottom"/>
            <w:hideMark/>
          </w:tcPr>
          <w:p w14:paraId="01D7FE66" w14:textId="77777777"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shd w:val="clear" w:color="auto" w:fill="auto"/>
            <w:noWrap/>
            <w:vAlign w:val="bottom"/>
            <w:hideMark/>
          </w:tcPr>
          <w:p w14:paraId="56472E39"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03C53022"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3ED4304A" w14:textId="78A6A359"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-0.005**</w:t>
            </w:r>
          </w:p>
        </w:tc>
        <w:tc>
          <w:tcPr>
            <w:tcW w:w="601" w:type="pct"/>
            <w:shd w:val="clear" w:color="auto" w:fill="auto"/>
            <w:vAlign w:val="bottom"/>
          </w:tcPr>
          <w:p w14:paraId="6D4D599A" w14:textId="2C7D1D6C"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4B73572A"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454" w:type="pct"/>
            <w:vAlign w:val="bottom"/>
          </w:tcPr>
          <w:p w14:paraId="22E3C797"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r>
      <w:tr w:rsidR="00177909" w:rsidRPr="000E6A87" w14:paraId="194B94B5" w14:textId="77777777" w:rsidTr="00177909">
        <w:tc>
          <w:tcPr>
            <w:tcW w:w="745" w:type="pct"/>
            <w:shd w:val="clear" w:color="auto" w:fill="auto"/>
            <w:noWrap/>
            <w:vAlign w:val="center"/>
            <w:hideMark/>
          </w:tcPr>
          <w:p w14:paraId="42A13292" w14:textId="3A72B4CA" w:rsidR="00177909" w:rsidRPr="004709F5" w:rsidRDefault="00177909" w:rsidP="00177909">
            <w:pPr>
              <w:widowControl/>
              <w:autoSpaceDE/>
              <w:autoSpaceDN/>
              <w:rPr>
                <w:rFonts w:asciiTheme="majorBidi" w:hAnsiTheme="majorBidi" w:cstheme="majorBidi"/>
                <w:color w:val="000000"/>
                <w14:ligatures w14:val="none"/>
              </w:rPr>
            </w:pPr>
            <w:r>
              <w:rPr>
                <w:color w:val="000000"/>
              </w:rPr>
              <w:t xml:space="preserve">   - Environment Pillar </w:t>
            </w:r>
          </w:p>
        </w:tc>
        <w:tc>
          <w:tcPr>
            <w:tcW w:w="797" w:type="pct"/>
            <w:shd w:val="clear" w:color="auto" w:fill="auto"/>
            <w:noWrap/>
            <w:vAlign w:val="bottom"/>
            <w:hideMark/>
          </w:tcPr>
          <w:p w14:paraId="3D1DD85E" w14:textId="77777777"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shd w:val="clear" w:color="auto" w:fill="auto"/>
            <w:noWrap/>
            <w:vAlign w:val="bottom"/>
            <w:hideMark/>
          </w:tcPr>
          <w:p w14:paraId="3D025302"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1D374ACC"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6D3D2A21"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5E8632C4" w14:textId="4052879C"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-0.003**</w:t>
            </w:r>
          </w:p>
        </w:tc>
        <w:tc>
          <w:tcPr>
            <w:tcW w:w="601" w:type="pct"/>
            <w:shd w:val="clear" w:color="auto" w:fill="auto"/>
            <w:noWrap/>
            <w:vAlign w:val="bottom"/>
            <w:hideMark/>
          </w:tcPr>
          <w:p w14:paraId="5D566FEE" w14:textId="2FFBFE1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454" w:type="pct"/>
            <w:vAlign w:val="bottom"/>
          </w:tcPr>
          <w:p w14:paraId="5810D86C"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r>
      <w:tr w:rsidR="00177909" w:rsidRPr="000E6A87" w14:paraId="3C1144B1" w14:textId="77777777" w:rsidTr="00177909">
        <w:tc>
          <w:tcPr>
            <w:tcW w:w="745" w:type="pct"/>
            <w:shd w:val="clear" w:color="auto" w:fill="auto"/>
            <w:noWrap/>
            <w:vAlign w:val="center"/>
            <w:hideMark/>
          </w:tcPr>
          <w:p w14:paraId="0394A5B2" w14:textId="0095D62B" w:rsidR="00177909" w:rsidRPr="004709F5" w:rsidRDefault="00177909" w:rsidP="00177909">
            <w:pPr>
              <w:widowControl/>
              <w:tabs>
                <w:tab w:val="decimal" w:pos="73"/>
              </w:tabs>
              <w:autoSpaceDE/>
              <w:autoSpaceDN/>
              <w:rPr>
                <w:rFonts w:asciiTheme="majorBidi" w:hAnsiTheme="majorBidi" w:cstheme="majorBidi"/>
                <w:color w:val="000000"/>
                <w14:ligatures w14:val="none"/>
              </w:rPr>
            </w:pPr>
            <w:r>
              <w:rPr>
                <w:color w:val="000000"/>
              </w:rPr>
              <w:t xml:space="preserve">   - Social Pillar </w:t>
            </w:r>
          </w:p>
        </w:tc>
        <w:tc>
          <w:tcPr>
            <w:tcW w:w="797" w:type="pct"/>
            <w:shd w:val="clear" w:color="auto" w:fill="auto"/>
            <w:noWrap/>
            <w:vAlign w:val="bottom"/>
            <w:hideMark/>
          </w:tcPr>
          <w:p w14:paraId="78A54B24" w14:textId="77777777"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shd w:val="clear" w:color="auto" w:fill="auto"/>
            <w:noWrap/>
            <w:vAlign w:val="bottom"/>
            <w:hideMark/>
          </w:tcPr>
          <w:p w14:paraId="7840AE18"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6463BF09"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61A4A0E6"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03BD6F3A" w14:textId="7777777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1560A51E" w14:textId="08C11544"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-0.005**</w:t>
            </w:r>
          </w:p>
        </w:tc>
        <w:tc>
          <w:tcPr>
            <w:tcW w:w="454" w:type="pct"/>
            <w:vAlign w:val="bottom"/>
          </w:tcPr>
          <w:p w14:paraId="37AB2759" w14:textId="119D5CE3"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r>
      <w:tr w:rsidR="00177909" w:rsidRPr="000E6A87" w14:paraId="14CBC77E" w14:textId="77777777" w:rsidTr="00177909">
        <w:tc>
          <w:tcPr>
            <w:tcW w:w="745" w:type="pct"/>
            <w:shd w:val="clear" w:color="auto" w:fill="auto"/>
            <w:noWrap/>
            <w:vAlign w:val="center"/>
            <w:hideMark/>
          </w:tcPr>
          <w:p w14:paraId="7D851F73" w14:textId="6EEB3C3B" w:rsidR="00177909" w:rsidRPr="004709F5" w:rsidRDefault="00177909" w:rsidP="00177909">
            <w:pPr>
              <w:widowControl/>
              <w:autoSpaceDE/>
              <w:autoSpaceDN/>
              <w:rPr>
                <w:rFonts w:asciiTheme="majorBidi" w:hAnsiTheme="majorBidi" w:cstheme="majorBidi"/>
                <w:color w:val="000000"/>
                <w14:ligatures w14:val="none"/>
              </w:rPr>
            </w:pPr>
            <w:r>
              <w:rPr>
                <w:color w:val="000000"/>
              </w:rPr>
              <w:t xml:space="preserve">  - Governance Pillar </w:t>
            </w:r>
          </w:p>
        </w:tc>
        <w:tc>
          <w:tcPr>
            <w:tcW w:w="797" w:type="pct"/>
            <w:shd w:val="clear" w:color="auto" w:fill="auto"/>
            <w:noWrap/>
            <w:vAlign w:val="bottom"/>
            <w:hideMark/>
          </w:tcPr>
          <w:p w14:paraId="77148738" w14:textId="5D0127D6"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shd w:val="clear" w:color="auto" w:fill="auto"/>
            <w:noWrap/>
            <w:vAlign w:val="bottom"/>
            <w:hideMark/>
          </w:tcPr>
          <w:p w14:paraId="699466B4" w14:textId="10621F80"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7D34EEDD" w14:textId="1F5F346A"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72BC8E91" w14:textId="226A81DA"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46B63B4C" w14:textId="6B045CA3"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601" w:type="pct"/>
            <w:shd w:val="clear" w:color="auto" w:fill="auto"/>
            <w:noWrap/>
            <w:vAlign w:val="bottom"/>
            <w:hideMark/>
          </w:tcPr>
          <w:p w14:paraId="580DBEBB" w14:textId="2162CE41"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p>
        </w:tc>
        <w:tc>
          <w:tcPr>
            <w:tcW w:w="454" w:type="pct"/>
            <w:vAlign w:val="bottom"/>
          </w:tcPr>
          <w:p w14:paraId="225AE9E5" w14:textId="333955C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-0.001**</w:t>
            </w:r>
          </w:p>
        </w:tc>
      </w:tr>
      <w:tr w:rsidR="00177909" w:rsidRPr="000E6A87" w14:paraId="0DE7E426" w14:textId="77777777" w:rsidTr="00177909">
        <w:tc>
          <w:tcPr>
            <w:tcW w:w="745" w:type="pct"/>
            <w:shd w:val="clear" w:color="auto" w:fill="auto"/>
            <w:noWrap/>
            <w:vAlign w:val="center"/>
            <w:hideMark/>
          </w:tcPr>
          <w:p w14:paraId="68B0E352" w14:textId="438C1DCB" w:rsidR="00177909" w:rsidRPr="004709F5" w:rsidRDefault="00177909" w:rsidP="00177909">
            <w:pPr>
              <w:widowControl/>
              <w:autoSpaceDE/>
              <w:autoSpaceDN/>
              <w:rPr>
                <w:rFonts w:asciiTheme="majorBidi" w:hAnsiTheme="majorBidi" w:cstheme="majorBidi"/>
                <w:color w:val="000000"/>
                <w14:ligatures w14:val="none"/>
              </w:rPr>
            </w:pPr>
            <w:r>
              <w:rPr>
                <w:color w:val="000000"/>
              </w:rPr>
              <w:t>Moody's Rating</w:t>
            </w:r>
          </w:p>
        </w:tc>
        <w:tc>
          <w:tcPr>
            <w:tcW w:w="797" w:type="pct"/>
            <w:shd w:val="clear" w:color="auto" w:fill="auto"/>
            <w:noWrap/>
            <w:vAlign w:val="bottom"/>
            <w:hideMark/>
          </w:tcPr>
          <w:p w14:paraId="650DA39E" w14:textId="5F4A3842"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shd w:val="clear" w:color="auto" w:fill="auto"/>
            <w:noWrap/>
            <w:vAlign w:val="bottom"/>
            <w:hideMark/>
          </w:tcPr>
          <w:p w14:paraId="574AD4A4" w14:textId="04CFB34C"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-0.011**</w:t>
            </w:r>
          </w:p>
        </w:tc>
        <w:tc>
          <w:tcPr>
            <w:tcW w:w="601" w:type="pct"/>
            <w:shd w:val="clear" w:color="auto" w:fill="auto"/>
            <w:noWrap/>
            <w:vAlign w:val="bottom"/>
            <w:hideMark/>
          </w:tcPr>
          <w:p w14:paraId="6CCC7529" w14:textId="2F5E5BB8"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-0.011**</w:t>
            </w:r>
          </w:p>
        </w:tc>
        <w:tc>
          <w:tcPr>
            <w:tcW w:w="601" w:type="pct"/>
            <w:shd w:val="clear" w:color="auto" w:fill="auto"/>
            <w:noWrap/>
            <w:vAlign w:val="bottom"/>
            <w:hideMark/>
          </w:tcPr>
          <w:p w14:paraId="7AB7A113" w14:textId="37F4BC51"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-0.009**</w:t>
            </w:r>
          </w:p>
        </w:tc>
        <w:tc>
          <w:tcPr>
            <w:tcW w:w="601" w:type="pct"/>
            <w:shd w:val="clear" w:color="auto" w:fill="auto"/>
            <w:noWrap/>
            <w:vAlign w:val="bottom"/>
            <w:hideMark/>
          </w:tcPr>
          <w:p w14:paraId="71AB476A" w14:textId="08FD5AC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-0.009**</w:t>
            </w:r>
          </w:p>
        </w:tc>
        <w:tc>
          <w:tcPr>
            <w:tcW w:w="601" w:type="pct"/>
            <w:shd w:val="clear" w:color="auto" w:fill="auto"/>
            <w:noWrap/>
            <w:vAlign w:val="bottom"/>
            <w:hideMark/>
          </w:tcPr>
          <w:p w14:paraId="52DFB4E7" w14:textId="0A4DCB84"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-0.009**</w:t>
            </w:r>
          </w:p>
        </w:tc>
        <w:tc>
          <w:tcPr>
            <w:tcW w:w="454" w:type="pct"/>
            <w:vAlign w:val="bottom"/>
          </w:tcPr>
          <w:p w14:paraId="6B2BE472" w14:textId="457544BC"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-0.011**</w:t>
            </w:r>
          </w:p>
        </w:tc>
      </w:tr>
      <w:tr w:rsidR="00177909" w:rsidRPr="000E6A87" w14:paraId="1067B3B8" w14:textId="77777777" w:rsidTr="00177909">
        <w:tc>
          <w:tcPr>
            <w:tcW w:w="745" w:type="pct"/>
            <w:shd w:val="clear" w:color="auto" w:fill="auto"/>
            <w:noWrap/>
            <w:vAlign w:val="bottom"/>
            <w:hideMark/>
          </w:tcPr>
          <w:p w14:paraId="14284DAA" w14:textId="661879EC" w:rsidR="00177909" w:rsidRPr="004709F5" w:rsidRDefault="00177909" w:rsidP="00177909">
            <w:pPr>
              <w:widowControl/>
              <w:autoSpaceDE/>
              <w:autoSpaceDN/>
              <w:rPr>
                <w:rFonts w:asciiTheme="majorBidi" w:hAnsiTheme="majorBidi" w:cstheme="majorBidi"/>
                <w:color w:val="000000"/>
                <w14:ligatures w14:val="none"/>
              </w:rPr>
            </w:pPr>
            <w:r>
              <w:rPr>
                <w:rFonts w:ascii="Aptos Narrow" w:hAnsi="Aptos Narrow"/>
                <w:color w:val="000000"/>
              </w:rPr>
              <w:t>Duration</w:t>
            </w:r>
          </w:p>
        </w:tc>
        <w:tc>
          <w:tcPr>
            <w:tcW w:w="797" w:type="pct"/>
            <w:shd w:val="clear" w:color="auto" w:fill="auto"/>
            <w:noWrap/>
            <w:vAlign w:val="bottom"/>
            <w:hideMark/>
          </w:tcPr>
          <w:p w14:paraId="69382DA6" w14:textId="65CBBE32"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shd w:val="clear" w:color="auto" w:fill="auto"/>
            <w:noWrap/>
            <w:vAlign w:val="bottom"/>
            <w:hideMark/>
          </w:tcPr>
          <w:p w14:paraId="2B3C30AB" w14:textId="28763162"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c>
          <w:tcPr>
            <w:tcW w:w="601" w:type="pct"/>
            <w:shd w:val="clear" w:color="auto" w:fill="auto"/>
            <w:noWrap/>
            <w:vAlign w:val="bottom"/>
            <w:hideMark/>
          </w:tcPr>
          <w:p w14:paraId="3F23D129" w14:textId="1CA26A70"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c>
          <w:tcPr>
            <w:tcW w:w="601" w:type="pct"/>
            <w:shd w:val="clear" w:color="auto" w:fill="auto"/>
            <w:noWrap/>
            <w:vAlign w:val="bottom"/>
            <w:hideMark/>
          </w:tcPr>
          <w:p w14:paraId="5C1BDED8" w14:textId="50AD4F45"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c>
          <w:tcPr>
            <w:tcW w:w="601" w:type="pct"/>
            <w:shd w:val="clear" w:color="auto" w:fill="auto"/>
            <w:noWrap/>
            <w:vAlign w:val="bottom"/>
            <w:hideMark/>
          </w:tcPr>
          <w:p w14:paraId="3440F337" w14:textId="23EDA13E"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c>
          <w:tcPr>
            <w:tcW w:w="601" w:type="pct"/>
            <w:shd w:val="clear" w:color="auto" w:fill="auto"/>
            <w:noWrap/>
            <w:vAlign w:val="bottom"/>
            <w:hideMark/>
          </w:tcPr>
          <w:p w14:paraId="3ABF4A4A" w14:textId="7E16D3AA"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c>
          <w:tcPr>
            <w:tcW w:w="454" w:type="pct"/>
            <w:vAlign w:val="bottom"/>
          </w:tcPr>
          <w:p w14:paraId="5791D365" w14:textId="729568FA"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r>
      <w:tr w:rsidR="00177909" w:rsidRPr="000E6A87" w14:paraId="339977D5" w14:textId="77777777" w:rsidTr="00177909">
        <w:tc>
          <w:tcPr>
            <w:tcW w:w="745" w:type="pct"/>
            <w:shd w:val="clear" w:color="auto" w:fill="auto"/>
            <w:noWrap/>
            <w:vAlign w:val="bottom"/>
            <w:hideMark/>
          </w:tcPr>
          <w:p w14:paraId="75664E24" w14:textId="5526D1E4" w:rsidR="00177909" w:rsidRPr="004709F5" w:rsidRDefault="00177909" w:rsidP="00177909">
            <w:pPr>
              <w:widowControl/>
              <w:autoSpaceDE/>
              <w:autoSpaceDN/>
              <w:rPr>
                <w:rFonts w:asciiTheme="majorBidi" w:hAnsiTheme="majorBidi" w:cstheme="majorBidi"/>
                <w:color w:val="000000"/>
                <w14:ligatures w14:val="none"/>
              </w:rPr>
            </w:pPr>
            <w:r>
              <w:rPr>
                <w:rFonts w:ascii="Aptos Narrow" w:hAnsi="Aptos Narrow"/>
                <w:color w:val="000000"/>
              </w:rPr>
              <w:t>Maturity</w:t>
            </w:r>
          </w:p>
        </w:tc>
        <w:tc>
          <w:tcPr>
            <w:tcW w:w="797" w:type="pct"/>
            <w:shd w:val="clear" w:color="auto" w:fill="auto"/>
            <w:noWrap/>
            <w:vAlign w:val="bottom"/>
            <w:hideMark/>
          </w:tcPr>
          <w:p w14:paraId="70D0B309" w14:textId="75E36A5C"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shd w:val="clear" w:color="auto" w:fill="auto"/>
            <w:noWrap/>
            <w:vAlign w:val="bottom"/>
            <w:hideMark/>
          </w:tcPr>
          <w:p w14:paraId="11715922" w14:textId="6AB3869B"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0.26**</w:t>
            </w:r>
          </w:p>
        </w:tc>
        <w:tc>
          <w:tcPr>
            <w:tcW w:w="601" w:type="pct"/>
            <w:shd w:val="clear" w:color="auto" w:fill="auto"/>
            <w:noWrap/>
            <w:vAlign w:val="bottom"/>
            <w:hideMark/>
          </w:tcPr>
          <w:p w14:paraId="44752061" w14:textId="223521DC"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0.26**</w:t>
            </w:r>
          </w:p>
        </w:tc>
        <w:tc>
          <w:tcPr>
            <w:tcW w:w="601" w:type="pct"/>
            <w:shd w:val="clear" w:color="auto" w:fill="auto"/>
            <w:noWrap/>
            <w:vAlign w:val="bottom"/>
            <w:hideMark/>
          </w:tcPr>
          <w:p w14:paraId="5C67F776" w14:textId="78D823D1"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0.26**</w:t>
            </w:r>
          </w:p>
        </w:tc>
        <w:tc>
          <w:tcPr>
            <w:tcW w:w="601" w:type="pct"/>
            <w:shd w:val="clear" w:color="auto" w:fill="auto"/>
            <w:noWrap/>
            <w:vAlign w:val="bottom"/>
            <w:hideMark/>
          </w:tcPr>
          <w:p w14:paraId="1B8D5BFC" w14:textId="1AF3F600"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0.262**</w:t>
            </w:r>
          </w:p>
        </w:tc>
        <w:tc>
          <w:tcPr>
            <w:tcW w:w="601" w:type="pct"/>
            <w:shd w:val="clear" w:color="auto" w:fill="auto"/>
            <w:noWrap/>
            <w:vAlign w:val="bottom"/>
            <w:hideMark/>
          </w:tcPr>
          <w:p w14:paraId="190E9E87" w14:textId="25E1F42B"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0.259**</w:t>
            </w:r>
          </w:p>
        </w:tc>
        <w:tc>
          <w:tcPr>
            <w:tcW w:w="454" w:type="pct"/>
            <w:vAlign w:val="bottom"/>
          </w:tcPr>
          <w:p w14:paraId="60E45B8F" w14:textId="687F02AB"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0.259**</w:t>
            </w:r>
          </w:p>
        </w:tc>
      </w:tr>
      <w:tr w:rsidR="00177909" w:rsidRPr="000E6A87" w14:paraId="7D56E2F6" w14:textId="77777777" w:rsidTr="00177909">
        <w:tc>
          <w:tcPr>
            <w:tcW w:w="745" w:type="pct"/>
            <w:shd w:val="clear" w:color="auto" w:fill="auto"/>
            <w:noWrap/>
            <w:vAlign w:val="center"/>
            <w:hideMark/>
          </w:tcPr>
          <w:p w14:paraId="2196FC06" w14:textId="7F87712D" w:rsidR="00177909" w:rsidRPr="004709F5" w:rsidRDefault="00177909" w:rsidP="00177909">
            <w:pPr>
              <w:widowControl/>
              <w:autoSpaceDE/>
              <w:autoSpaceDN/>
              <w:rPr>
                <w:rFonts w:asciiTheme="majorBidi" w:hAnsiTheme="majorBidi" w:cstheme="majorBidi"/>
                <w:color w:val="000000"/>
                <w14:ligatures w14:val="none"/>
              </w:rPr>
            </w:pPr>
            <w:r>
              <w:rPr>
                <w:color w:val="000000"/>
              </w:rPr>
              <w:t>Issue Relative Size</w:t>
            </w:r>
          </w:p>
        </w:tc>
        <w:tc>
          <w:tcPr>
            <w:tcW w:w="797" w:type="pct"/>
            <w:shd w:val="clear" w:color="auto" w:fill="auto"/>
            <w:noWrap/>
            <w:vAlign w:val="bottom"/>
            <w:hideMark/>
          </w:tcPr>
          <w:p w14:paraId="384F3D42" w14:textId="77777777" w:rsidR="00177909" w:rsidRPr="00225AE3" w:rsidRDefault="00177909" w:rsidP="00177909">
            <w:pPr>
              <w:widowControl/>
              <w:tabs>
                <w:tab w:val="decimal" w:pos="556"/>
              </w:tabs>
              <w:autoSpaceDE/>
              <w:autoSpaceDN/>
              <w:ind w:left="312"/>
              <w:rPr>
                <w:rFonts w:asciiTheme="majorBidi" w:hAnsiTheme="majorBidi" w:cstheme="majorBidi"/>
                <w:color w:val="000000"/>
                <w:sz w:val="20"/>
                <w:szCs w:val="20"/>
                <w14:ligatures w14:val="none"/>
              </w:rPr>
            </w:pPr>
          </w:p>
        </w:tc>
        <w:tc>
          <w:tcPr>
            <w:tcW w:w="601" w:type="pct"/>
            <w:shd w:val="clear" w:color="auto" w:fill="auto"/>
            <w:noWrap/>
            <w:vAlign w:val="bottom"/>
            <w:hideMark/>
          </w:tcPr>
          <w:p w14:paraId="52EDE6F7" w14:textId="506E9923"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0.009</w:t>
            </w:r>
          </w:p>
        </w:tc>
        <w:tc>
          <w:tcPr>
            <w:tcW w:w="601" w:type="pct"/>
            <w:shd w:val="clear" w:color="auto" w:fill="auto"/>
            <w:noWrap/>
            <w:vAlign w:val="bottom"/>
            <w:hideMark/>
          </w:tcPr>
          <w:p w14:paraId="0BC27158" w14:textId="1831EE2E"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c>
          <w:tcPr>
            <w:tcW w:w="601" w:type="pct"/>
            <w:shd w:val="clear" w:color="auto" w:fill="auto"/>
            <w:noWrap/>
            <w:vAlign w:val="bottom"/>
            <w:hideMark/>
          </w:tcPr>
          <w:p w14:paraId="3D82E7C1" w14:textId="47C5F7F2"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0.008</w:t>
            </w:r>
          </w:p>
        </w:tc>
        <w:tc>
          <w:tcPr>
            <w:tcW w:w="601" w:type="pct"/>
            <w:shd w:val="clear" w:color="auto" w:fill="auto"/>
            <w:noWrap/>
            <w:vAlign w:val="bottom"/>
            <w:hideMark/>
          </w:tcPr>
          <w:p w14:paraId="6201A616" w14:textId="1138D45E"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0.006</w:t>
            </w:r>
          </w:p>
        </w:tc>
        <w:tc>
          <w:tcPr>
            <w:tcW w:w="601" w:type="pct"/>
            <w:shd w:val="clear" w:color="auto" w:fill="auto"/>
            <w:noWrap/>
            <w:vAlign w:val="bottom"/>
            <w:hideMark/>
          </w:tcPr>
          <w:p w14:paraId="744D8510" w14:textId="12BBB19A"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0.008</w:t>
            </w:r>
          </w:p>
        </w:tc>
        <w:tc>
          <w:tcPr>
            <w:tcW w:w="454" w:type="pct"/>
            <w:vAlign w:val="bottom"/>
          </w:tcPr>
          <w:p w14:paraId="5CF6A64E" w14:textId="20463BA7"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r>
      <w:tr w:rsidR="00177909" w:rsidRPr="000E6A87" w14:paraId="2457B8B2" w14:textId="77777777" w:rsidTr="00177909">
        <w:tc>
          <w:tcPr>
            <w:tcW w:w="745" w:type="pct"/>
            <w:shd w:val="clear" w:color="auto" w:fill="auto"/>
            <w:noWrap/>
            <w:vAlign w:val="bottom"/>
            <w:hideMark/>
          </w:tcPr>
          <w:p w14:paraId="094DF566" w14:textId="4B3AF264" w:rsidR="00177909" w:rsidRPr="004709F5" w:rsidRDefault="00177909" w:rsidP="00177909">
            <w:pPr>
              <w:widowControl/>
              <w:autoSpaceDE/>
              <w:autoSpaceDN/>
              <w:rPr>
                <w:rFonts w:asciiTheme="majorBidi" w:hAnsiTheme="majorBidi" w:cstheme="majorBidi"/>
                <w:color w:val="000000"/>
                <w14:ligatures w14:val="none"/>
              </w:rPr>
            </w:pPr>
            <w:r>
              <w:rPr>
                <w:rFonts w:ascii="Aptos Narrow" w:hAnsi="Aptos Narrow"/>
                <w:color w:val="000000"/>
              </w:rPr>
              <w:t>Milles Ratio</w:t>
            </w:r>
          </w:p>
        </w:tc>
        <w:tc>
          <w:tcPr>
            <w:tcW w:w="797" w:type="pct"/>
            <w:shd w:val="clear" w:color="auto" w:fill="auto"/>
            <w:noWrap/>
            <w:vAlign w:val="bottom"/>
            <w:hideMark/>
          </w:tcPr>
          <w:p w14:paraId="0ECC119D" w14:textId="77777777" w:rsidR="00177909" w:rsidRPr="00225AE3" w:rsidRDefault="00177909" w:rsidP="00177909">
            <w:pPr>
              <w:widowControl/>
              <w:tabs>
                <w:tab w:val="decimal" w:pos="556"/>
              </w:tabs>
              <w:autoSpaceDE/>
              <w:autoSpaceDN/>
              <w:jc w:val="center"/>
              <w:rPr>
                <w:rFonts w:asciiTheme="majorBidi" w:hAnsiTheme="majorBidi" w:cstheme="majorBidi"/>
                <w:color w:val="000000"/>
                <w:sz w:val="20"/>
                <w:szCs w:val="20"/>
                <w14:ligatures w14:val="none"/>
              </w:rPr>
            </w:pPr>
          </w:p>
        </w:tc>
        <w:tc>
          <w:tcPr>
            <w:tcW w:w="601" w:type="pct"/>
            <w:shd w:val="clear" w:color="auto" w:fill="auto"/>
            <w:noWrap/>
            <w:vAlign w:val="bottom"/>
            <w:hideMark/>
          </w:tcPr>
          <w:p w14:paraId="45CC796B" w14:textId="3BE88C25" w:rsidR="00177909" w:rsidRPr="00225AE3" w:rsidRDefault="00177909" w:rsidP="00177909">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-0.104</w:t>
            </w:r>
          </w:p>
        </w:tc>
        <w:tc>
          <w:tcPr>
            <w:tcW w:w="601" w:type="pct"/>
            <w:shd w:val="clear" w:color="auto" w:fill="auto"/>
            <w:noWrap/>
            <w:vAlign w:val="bottom"/>
            <w:hideMark/>
          </w:tcPr>
          <w:p w14:paraId="505ADF5A" w14:textId="5754A8BC" w:rsidR="00177909" w:rsidRPr="00225AE3" w:rsidRDefault="00177909" w:rsidP="00177909">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0.016</w:t>
            </w:r>
          </w:p>
        </w:tc>
        <w:tc>
          <w:tcPr>
            <w:tcW w:w="601" w:type="pct"/>
            <w:shd w:val="clear" w:color="auto" w:fill="auto"/>
            <w:noWrap/>
            <w:vAlign w:val="bottom"/>
            <w:hideMark/>
          </w:tcPr>
          <w:p w14:paraId="49376599" w14:textId="7A853910" w:rsidR="00177909" w:rsidRPr="00225AE3" w:rsidRDefault="00177909" w:rsidP="00177909">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-0.03</w:t>
            </w:r>
          </w:p>
        </w:tc>
        <w:tc>
          <w:tcPr>
            <w:tcW w:w="601" w:type="pct"/>
            <w:shd w:val="clear" w:color="auto" w:fill="auto"/>
            <w:noWrap/>
            <w:vAlign w:val="bottom"/>
            <w:hideMark/>
          </w:tcPr>
          <w:p w14:paraId="6D41799E" w14:textId="4D081F2B" w:rsidR="00177909" w:rsidRPr="00225AE3" w:rsidRDefault="00177909" w:rsidP="00177909">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-0.046</w:t>
            </w:r>
          </w:p>
        </w:tc>
        <w:tc>
          <w:tcPr>
            <w:tcW w:w="601" w:type="pct"/>
            <w:shd w:val="clear" w:color="auto" w:fill="auto"/>
            <w:noWrap/>
            <w:vAlign w:val="bottom"/>
            <w:hideMark/>
          </w:tcPr>
          <w:p w14:paraId="03E396D7" w14:textId="6A8BAAC5" w:rsidR="00177909" w:rsidRPr="00225AE3" w:rsidRDefault="00177909" w:rsidP="00177909">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-0.051</w:t>
            </w:r>
          </w:p>
        </w:tc>
        <w:tc>
          <w:tcPr>
            <w:tcW w:w="454" w:type="pct"/>
            <w:vAlign w:val="bottom"/>
          </w:tcPr>
          <w:p w14:paraId="4D1E7412" w14:textId="5EFEB65B" w:rsidR="00177909" w:rsidRPr="00225AE3" w:rsidRDefault="00177909" w:rsidP="00177909">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0.033</w:t>
            </w:r>
          </w:p>
        </w:tc>
      </w:tr>
      <w:tr w:rsidR="00177909" w:rsidRPr="000E6A87" w14:paraId="7FE1B4CE" w14:textId="77777777" w:rsidTr="00177909">
        <w:tc>
          <w:tcPr>
            <w:tcW w:w="745" w:type="pct"/>
            <w:shd w:val="clear" w:color="auto" w:fill="auto"/>
            <w:noWrap/>
            <w:vAlign w:val="bottom"/>
            <w:hideMark/>
          </w:tcPr>
          <w:p w14:paraId="54555C8E" w14:textId="502C48BB" w:rsidR="00177909" w:rsidRPr="004709F5" w:rsidRDefault="00177909" w:rsidP="00177909">
            <w:pPr>
              <w:widowControl/>
              <w:autoSpaceDE/>
              <w:autoSpaceDN/>
              <w:rPr>
                <w:rFonts w:asciiTheme="majorBidi" w:hAnsiTheme="majorBidi" w:cstheme="majorBidi"/>
                <w:color w:val="000000"/>
                <w14:ligatures w14:val="none"/>
              </w:rPr>
            </w:pPr>
            <w:r>
              <w:rPr>
                <w:rFonts w:ascii="Aptos Narrow" w:hAnsi="Aptos Narrow"/>
                <w:color w:val="000000"/>
              </w:rPr>
              <w:t>Industry Effect</w:t>
            </w:r>
          </w:p>
        </w:tc>
        <w:tc>
          <w:tcPr>
            <w:tcW w:w="797" w:type="pct"/>
            <w:shd w:val="clear" w:color="auto" w:fill="auto"/>
            <w:noWrap/>
            <w:vAlign w:val="bottom"/>
            <w:hideMark/>
          </w:tcPr>
          <w:p w14:paraId="69CC8FE5" w14:textId="77777777" w:rsidR="00177909" w:rsidRPr="00225AE3" w:rsidRDefault="00177909" w:rsidP="00177909">
            <w:pPr>
              <w:widowControl/>
              <w:tabs>
                <w:tab w:val="decimal" w:pos="556"/>
              </w:tabs>
              <w:autoSpaceDE/>
              <w:autoSpaceDN/>
              <w:jc w:val="center"/>
              <w:rPr>
                <w:rFonts w:asciiTheme="majorBidi" w:hAnsiTheme="majorBidi" w:cstheme="majorBidi"/>
                <w:b/>
                <w:bCs/>
                <w:color w:val="000000"/>
                <w:sz w:val="20"/>
                <w:szCs w:val="20"/>
                <w14:ligatures w14:val="none"/>
              </w:rPr>
            </w:pPr>
          </w:p>
        </w:tc>
        <w:tc>
          <w:tcPr>
            <w:tcW w:w="601" w:type="pct"/>
            <w:shd w:val="clear" w:color="auto" w:fill="auto"/>
            <w:noWrap/>
            <w:vAlign w:val="bottom"/>
            <w:hideMark/>
          </w:tcPr>
          <w:p w14:paraId="67B93C00" w14:textId="69A79EF5" w:rsidR="00177909" w:rsidRPr="00225AE3" w:rsidRDefault="00177909" w:rsidP="00177909">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601" w:type="pct"/>
            <w:shd w:val="clear" w:color="auto" w:fill="auto"/>
            <w:noWrap/>
            <w:vAlign w:val="bottom"/>
            <w:hideMark/>
          </w:tcPr>
          <w:p w14:paraId="483FB6D9" w14:textId="7019F3C1" w:rsidR="00177909" w:rsidRPr="00225AE3" w:rsidRDefault="00177909" w:rsidP="00177909">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601" w:type="pct"/>
            <w:shd w:val="clear" w:color="auto" w:fill="auto"/>
            <w:noWrap/>
            <w:vAlign w:val="bottom"/>
            <w:hideMark/>
          </w:tcPr>
          <w:p w14:paraId="4F567D6B" w14:textId="2C8FB742" w:rsidR="00177909" w:rsidRPr="00225AE3" w:rsidRDefault="00177909" w:rsidP="00177909">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601" w:type="pct"/>
            <w:shd w:val="clear" w:color="auto" w:fill="auto"/>
            <w:noWrap/>
            <w:vAlign w:val="bottom"/>
            <w:hideMark/>
          </w:tcPr>
          <w:p w14:paraId="441662DD" w14:textId="72EFD5C6" w:rsidR="00177909" w:rsidRPr="00225AE3" w:rsidRDefault="00177909" w:rsidP="00177909">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601" w:type="pct"/>
            <w:shd w:val="clear" w:color="auto" w:fill="auto"/>
            <w:noWrap/>
            <w:vAlign w:val="bottom"/>
            <w:hideMark/>
          </w:tcPr>
          <w:p w14:paraId="29DB8ED4" w14:textId="098CB8F6" w:rsidR="00177909" w:rsidRPr="00225AE3" w:rsidRDefault="00177909" w:rsidP="00177909">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454" w:type="pct"/>
            <w:vAlign w:val="bottom"/>
          </w:tcPr>
          <w:p w14:paraId="67032CFC" w14:textId="021F80F0" w:rsidR="00177909" w:rsidRPr="00225AE3" w:rsidRDefault="00177909" w:rsidP="00177909">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r>
      <w:tr w:rsidR="00177909" w:rsidRPr="000E6A87" w14:paraId="0318637C" w14:textId="77777777" w:rsidTr="00177909">
        <w:tc>
          <w:tcPr>
            <w:tcW w:w="745" w:type="pct"/>
            <w:tcBorders>
              <w:bottom w:val="single" w:sz="4" w:space="0" w:color="auto"/>
            </w:tcBorders>
            <w:shd w:val="clear" w:color="auto" w:fill="auto"/>
            <w:noWrap/>
            <w:vAlign w:val="bottom"/>
          </w:tcPr>
          <w:p w14:paraId="10E24D4E" w14:textId="230079C7" w:rsidR="00177909" w:rsidRPr="004709F5" w:rsidRDefault="00177909" w:rsidP="00177909">
            <w:pPr>
              <w:widowControl/>
              <w:autoSpaceDE/>
              <w:autoSpaceDN/>
              <w:rPr>
                <w:rFonts w:asciiTheme="majorBidi" w:hAnsiTheme="majorBidi" w:cstheme="majorBidi"/>
                <w:b/>
                <w:bCs/>
                <w:color w:val="000000"/>
                <w14:ligatures w14:val="none"/>
              </w:rPr>
            </w:pPr>
            <w:r>
              <w:rPr>
                <w:rFonts w:ascii="Aptos Narrow" w:hAnsi="Aptos Narrow"/>
                <w:color w:val="000000"/>
              </w:rPr>
              <w:t>Year Effect</w:t>
            </w:r>
          </w:p>
        </w:tc>
        <w:tc>
          <w:tcPr>
            <w:tcW w:w="797" w:type="pct"/>
            <w:tcBorders>
              <w:bottom w:val="single" w:sz="4" w:space="0" w:color="auto"/>
            </w:tcBorders>
            <w:shd w:val="clear" w:color="auto" w:fill="auto"/>
            <w:noWrap/>
            <w:vAlign w:val="bottom"/>
          </w:tcPr>
          <w:p w14:paraId="54BC7696" w14:textId="583D21C2" w:rsidR="00177909" w:rsidRPr="0005636E" w:rsidRDefault="00177909" w:rsidP="00177909">
            <w:pPr>
              <w:widowControl/>
              <w:tabs>
                <w:tab w:val="decimal" w:pos="556"/>
              </w:tabs>
              <w:autoSpaceDE/>
              <w:autoSpaceDN/>
              <w:rPr>
                <w:rFonts w:asciiTheme="majorBidi" w:hAnsiTheme="majorBidi" w:cstheme="majorBidi"/>
                <w:color w:val="000000"/>
                <w:sz w:val="20"/>
                <w:szCs w:val="20"/>
              </w:rPr>
            </w:pPr>
          </w:p>
        </w:tc>
        <w:tc>
          <w:tcPr>
            <w:tcW w:w="601" w:type="pct"/>
            <w:tcBorders>
              <w:bottom w:val="single" w:sz="4" w:space="0" w:color="auto"/>
            </w:tcBorders>
            <w:shd w:val="clear" w:color="auto" w:fill="auto"/>
            <w:noWrap/>
            <w:vAlign w:val="bottom"/>
          </w:tcPr>
          <w:p w14:paraId="5D1E3CBF" w14:textId="668CF809"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601" w:type="pct"/>
            <w:tcBorders>
              <w:bottom w:val="single" w:sz="4" w:space="0" w:color="auto"/>
            </w:tcBorders>
            <w:shd w:val="clear" w:color="auto" w:fill="auto"/>
            <w:noWrap/>
            <w:vAlign w:val="bottom"/>
          </w:tcPr>
          <w:p w14:paraId="6C0D4692" w14:textId="2E9A346B"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601" w:type="pct"/>
            <w:tcBorders>
              <w:bottom w:val="single" w:sz="4" w:space="0" w:color="auto"/>
            </w:tcBorders>
            <w:shd w:val="clear" w:color="auto" w:fill="auto"/>
            <w:noWrap/>
            <w:vAlign w:val="bottom"/>
          </w:tcPr>
          <w:p w14:paraId="5459516A" w14:textId="76590BF0"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601" w:type="pct"/>
            <w:tcBorders>
              <w:bottom w:val="single" w:sz="4" w:space="0" w:color="auto"/>
            </w:tcBorders>
            <w:shd w:val="clear" w:color="auto" w:fill="auto"/>
            <w:noWrap/>
            <w:vAlign w:val="bottom"/>
          </w:tcPr>
          <w:p w14:paraId="01952B73" w14:textId="1CC0C149"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601" w:type="pct"/>
            <w:tcBorders>
              <w:bottom w:val="single" w:sz="4" w:space="0" w:color="auto"/>
            </w:tcBorders>
            <w:shd w:val="clear" w:color="auto" w:fill="auto"/>
            <w:noWrap/>
            <w:vAlign w:val="bottom"/>
          </w:tcPr>
          <w:p w14:paraId="52B08962" w14:textId="5A563430"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454" w:type="pct"/>
            <w:tcBorders>
              <w:bottom w:val="single" w:sz="4" w:space="0" w:color="auto"/>
            </w:tcBorders>
            <w:vAlign w:val="bottom"/>
          </w:tcPr>
          <w:p w14:paraId="59934DB1" w14:textId="4D167A4C" w:rsidR="00177909" w:rsidRPr="0005636E" w:rsidRDefault="00177909" w:rsidP="00177909">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r>
      <w:tr w:rsidR="00177909" w:rsidRPr="000E6A87" w14:paraId="025707B5" w14:textId="77777777" w:rsidTr="00177909">
        <w:tc>
          <w:tcPr>
            <w:tcW w:w="745" w:type="pct"/>
            <w:tcBorders>
              <w:bottom w:val="single" w:sz="4" w:space="0" w:color="auto"/>
            </w:tcBorders>
            <w:shd w:val="clear" w:color="auto" w:fill="auto"/>
            <w:noWrap/>
            <w:vAlign w:val="bottom"/>
          </w:tcPr>
          <w:p w14:paraId="7F4903BB" w14:textId="725E8195" w:rsidR="00177909" w:rsidRPr="004709F5" w:rsidRDefault="00177909" w:rsidP="00177909">
            <w:pPr>
              <w:widowControl/>
              <w:autoSpaceDE/>
              <w:autoSpaceDN/>
              <w:rPr>
                <w:rFonts w:asciiTheme="majorBidi" w:hAnsiTheme="majorBidi" w:cstheme="majorBidi"/>
                <w:color w:val="000000"/>
              </w:rPr>
            </w:pPr>
            <w:r>
              <w:rPr>
                <w:rFonts w:ascii="Aptos Narrow" w:hAnsi="Aptos Narrow"/>
                <w:color w:val="000000"/>
              </w:rPr>
              <w:t xml:space="preserve"> Pseudo R2</w:t>
            </w:r>
          </w:p>
        </w:tc>
        <w:tc>
          <w:tcPr>
            <w:tcW w:w="797" w:type="pct"/>
            <w:tcBorders>
              <w:bottom w:val="single" w:sz="4" w:space="0" w:color="auto"/>
            </w:tcBorders>
            <w:shd w:val="clear" w:color="auto" w:fill="auto"/>
            <w:noWrap/>
            <w:vAlign w:val="bottom"/>
          </w:tcPr>
          <w:p w14:paraId="2F21096E" w14:textId="2E9E3860" w:rsidR="00177909" w:rsidRPr="0005636E" w:rsidRDefault="00177909" w:rsidP="00177909">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0.309</w:t>
            </w:r>
          </w:p>
        </w:tc>
        <w:tc>
          <w:tcPr>
            <w:tcW w:w="601" w:type="pct"/>
            <w:tcBorders>
              <w:bottom w:val="single" w:sz="4" w:space="0" w:color="auto"/>
            </w:tcBorders>
            <w:shd w:val="clear" w:color="auto" w:fill="auto"/>
            <w:noWrap/>
            <w:vAlign w:val="bottom"/>
          </w:tcPr>
          <w:p w14:paraId="21739B67" w14:textId="06E58F79" w:rsidR="00177909" w:rsidRDefault="00177909" w:rsidP="00177909">
            <w:pPr>
              <w:widowControl/>
              <w:tabs>
                <w:tab w:val="decimal" w:pos="375"/>
              </w:tabs>
              <w:autoSpaceDE/>
              <w:autoSpaceDN/>
              <w:ind w:left="-75"/>
              <w:rPr>
                <w:rFonts w:ascii="Aptos Narrow" w:hAnsi="Aptos Narrow"/>
                <w:color w:val="000000"/>
                <w:sz w:val="20"/>
                <w:szCs w:val="20"/>
              </w:rPr>
            </w:pPr>
            <w:r>
              <w:rPr>
                <w:rFonts w:ascii="Aptos Narrow" w:hAnsi="Aptos Narrow"/>
                <w:color w:val="000000"/>
              </w:rPr>
              <w:t>0.44</w:t>
            </w:r>
          </w:p>
        </w:tc>
        <w:tc>
          <w:tcPr>
            <w:tcW w:w="601" w:type="pct"/>
            <w:tcBorders>
              <w:bottom w:val="single" w:sz="4" w:space="0" w:color="auto"/>
            </w:tcBorders>
            <w:shd w:val="clear" w:color="auto" w:fill="auto"/>
            <w:noWrap/>
            <w:vAlign w:val="bottom"/>
          </w:tcPr>
          <w:p w14:paraId="6B1D7B1C" w14:textId="2FBDCB35" w:rsidR="00177909" w:rsidRDefault="00177909" w:rsidP="00177909">
            <w:pPr>
              <w:widowControl/>
              <w:tabs>
                <w:tab w:val="decimal" w:pos="375"/>
              </w:tabs>
              <w:autoSpaceDE/>
              <w:autoSpaceDN/>
              <w:ind w:left="-75"/>
              <w:rPr>
                <w:rFonts w:ascii="Aptos Narrow" w:hAnsi="Aptos Narrow"/>
                <w:color w:val="000000"/>
                <w:sz w:val="20"/>
                <w:szCs w:val="20"/>
              </w:rPr>
            </w:pPr>
            <w:r>
              <w:rPr>
                <w:rFonts w:ascii="Aptos Narrow" w:hAnsi="Aptos Narrow"/>
                <w:color w:val="000000"/>
              </w:rPr>
              <w:t>0.431</w:t>
            </w:r>
          </w:p>
        </w:tc>
        <w:tc>
          <w:tcPr>
            <w:tcW w:w="601" w:type="pct"/>
            <w:tcBorders>
              <w:bottom w:val="single" w:sz="4" w:space="0" w:color="auto"/>
            </w:tcBorders>
            <w:shd w:val="clear" w:color="auto" w:fill="auto"/>
            <w:noWrap/>
            <w:vAlign w:val="bottom"/>
          </w:tcPr>
          <w:p w14:paraId="6508BFF4" w14:textId="1F297737" w:rsidR="00177909" w:rsidRDefault="00177909" w:rsidP="00177909">
            <w:pPr>
              <w:widowControl/>
              <w:tabs>
                <w:tab w:val="decimal" w:pos="375"/>
              </w:tabs>
              <w:autoSpaceDE/>
              <w:autoSpaceDN/>
              <w:ind w:left="-75"/>
              <w:rPr>
                <w:rFonts w:ascii="Aptos Narrow" w:hAnsi="Aptos Narrow"/>
                <w:color w:val="000000"/>
                <w:sz w:val="20"/>
                <w:szCs w:val="20"/>
              </w:rPr>
            </w:pPr>
            <w:r>
              <w:rPr>
                <w:rFonts w:ascii="Aptos Narrow" w:hAnsi="Aptos Narrow"/>
                <w:color w:val="000000"/>
              </w:rPr>
              <w:t>0.443</w:t>
            </w:r>
          </w:p>
        </w:tc>
        <w:tc>
          <w:tcPr>
            <w:tcW w:w="601" w:type="pct"/>
            <w:tcBorders>
              <w:bottom w:val="single" w:sz="4" w:space="0" w:color="auto"/>
            </w:tcBorders>
            <w:shd w:val="clear" w:color="auto" w:fill="auto"/>
            <w:noWrap/>
            <w:vAlign w:val="bottom"/>
          </w:tcPr>
          <w:p w14:paraId="1BB8EB4E" w14:textId="14CF2CFC" w:rsidR="00177909" w:rsidRDefault="00177909" w:rsidP="00177909">
            <w:pPr>
              <w:widowControl/>
              <w:tabs>
                <w:tab w:val="decimal" w:pos="375"/>
              </w:tabs>
              <w:autoSpaceDE/>
              <w:autoSpaceDN/>
              <w:ind w:left="-75"/>
              <w:rPr>
                <w:rFonts w:ascii="Aptos Narrow" w:hAnsi="Aptos Narrow"/>
                <w:color w:val="000000"/>
                <w:sz w:val="20"/>
                <w:szCs w:val="20"/>
              </w:rPr>
            </w:pPr>
            <w:r>
              <w:rPr>
                <w:rFonts w:ascii="Aptos Narrow" w:hAnsi="Aptos Narrow"/>
                <w:color w:val="000000"/>
              </w:rPr>
              <w:t>0.44</w:t>
            </w:r>
          </w:p>
        </w:tc>
        <w:tc>
          <w:tcPr>
            <w:tcW w:w="601" w:type="pct"/>
            <w:tcBorders>
              <w:bottom w:val="single" w:sz="4" w:space="0" w:color="auto"/>
            </w:tcBorders>
            <w:shd w:val="clear" w:color="auto" w:fill="auto"/>
            <w:noWrap/>
            <w:vAlign w:val="bottom"/>
          </w:tcPr>
          <w:p w14:paraId="2027C5E3" w14:textId="6AFD7545" w:rsidR="00177909" w:rsidRDefault="00177909" w:rsidP="00177909">
            <w:pPr>
              <w:widowControl/>
              <w:tabs>
                <w:tab w:val="decimal" w:pos="375"/>
              </w:tabs>
              <w:autoSpaceDE/>
              <w:autoSpaceDN/>
              <w:ind w:left="-75"/>
              <w:rPr>
                <w:rFonts w:ascii="Aptos Narrow" w:hAnsi="Aptos Narrow"/>
                <w:color w:val="000000"/>
                <w:sz w:val="20"/>
                <w:szCs w:val="20"/>
              </w:rPr>
            </w:pPr>
            <w:r>
              <w:rPr>
                <w:rFonts w:ascii="Aptos Narrow" w:hAnsi="Aptos Narrow"/>
                <w:color w:val="000000"/>
              </w:rPr>
              <w:t>0.446</w:t>
            </w:r>
          </w:p>
        </w:tc>
        <w:tc>
          <w:tcPr>
            <w:tcW w:w="454" w:type="pct"/>
            <w:tcBorders>
              <w:bottom w:val="single" w:sz="4" w:space="0" w:color="auto"/>
            </w:tcBorders>
            <w:vAlign w:val="bottom"/>
          </w:tcPr>
          <w:p w14:paraId="30DF51EF" w14:textId="1888BAF9" w:rsidR="00177909" w:rsidRDefault="00177909" w:rsidP="00177909">
            <w:pPr>
              <w:widowControl/>
              <w:tabs>
                <w:tab w:val="decimal" w:pos="375"/>
              </w:tabs>
              <w:autoSpaceDE/>
              <w:autoSpaceDN/>
              <w:ind w:left="-75"/>
              <w:rPr>
                <w:rFonts w:ascii="Aptos Narrow" w:hAnsi="Aptos Narrow"/>
                <w:color w:val="000000"/>
                <w:sz w:val="20"/>
                <w:szCs w:val="20"/>
              </w:rPr>
            </w:pPr>
            <w:r>
              <w:rPr>
                <w:rFonts w:ascii="Aptos Narrow" w:hAnsi="Aptos Narrow"/>
                <w:color w:val="000000"/>
              </w:rPr>
              <w:t>0.433</w:t>
            </w:r>
          </w:p>
        </w:tc>
      </w:tr>
      <w:tr w:rsidR="00177909" w:rsidRPr="00306EA2" w14:paraId="47D9E447" w14:textId="77777777" w:rsidTr="00177909">
        <w:tc>
          <w:tcPr>
            <w:tcW w:w="745" w:type="pct"/>
            <w:tcBorders>
              <w:top w:val="single" w:sz="4" w:space="0" w:color="auto"/>
              <w:bottom w:val="single" w:sz="4" w:space="0" w:color="auto"/>
            </w:tcBorders>
            <w:shd w:val="clear" w:color="auto" w:fill="auto"/>
            <w:noWrap/>
            <w:vAlign w:val="bottom"/>
          </w:tcPr>
          <w:p w14:paraId="59AD39E7" w14:textId="67E090CC" w:rsidR="00177909" w:rsidRPr="00306EA2" w:rsidRDefault="00177909" w:rsidP="00177909">
            <w:pPr>
              <w:widowControl/>
              <w:autoSpaceDE/>
              <w:autoSpaceDN/>
              <w:rPr>
                <w:rFonts w:asciiTheme="majorBidi" w:hAnsiTheme="majorBidi" w:cstheme="majorBidi"/>
                <w:b/>
                <w:bCs/>
                <w:color w:val="000000"/>
                <w14:ligatures w14:val="none"/>
              </w:rPr>
            </w:pPr>
            <w:r>
              <w:rPr>
                <w:rFonts w:ascii="Aptos Narrow" w:hAnsi="Aptos Narrow"/>
                <w:color w:val="000000"/>
              </w:rPr>
              <w:t>N</w:t>
            </w:r>
          </w:p>
        </w:tc>
        <w:tc>
          <w:tcPr>
            <w:tcW w:w="797" w:type="pct"/>
            <w:tcBorders>
              <w:top w:val="single" w:sz="4" w:space="0" w:color="auto"/>
              <w:bottom w:val="single" w:sz="4" w:space="0" w:color="auto"/>
            </w:tcBorders>
            <w:shd w:val="clear" w:color="auto" w:fill="auto"/>
            <w:noWrap/>
            <w:vAlign w:val="bottom"/>
          </w:tcPr>
          <w:p w14:paraId="6593330D" w14:textId="3A87B0C1" w:rsidR="00177909" w:rsidRPr="00306EA2" w:rsidRDefault="00177909" w:rsidP="00177909">
            <w:pPr>
              <w:widowControl/>
              <w:tabs>
                <w:tab w:val="decimal" w:pos="120"/>
              </w:tabs>
              <w:autoSpaceDE/>
              <w:autoSpaceDN/>
              <w:rPr>
                <w:rFonts w:asciiTheme="majorBidi" w:hAnsiTheme="majorBidi" w:cstheme="majorBidi"/>
                <w:b/>
                <w:bCs/>
                <w:color w:val="000000"/>
                <w:sz w:val="20"/>
                <w:szCs w:val="20"/>
                <w14:ligatures w14:val="none"/>
              </w:rPr>
            </w:pPr>
            <w:r>
              <w:rPr>
                <w:rFonts w:ascii="Aptos Narrow" w:hAnsi="Aptos Narrow"/>
                <w:color w:val="000000"/>
              </w:rPr>
              <w:t xml:space="preserve">          8,453 </w:t>
            </w:r>
          </w:p>
        </w:tc>
        <w:tc>
          <w:tcPr>
            <w:tcW w:w="601" w:type="pct"/>
            <w:tcBorders>
              <w:top w:val="single" w:sz="4" w:space="0" w:color="auto"/>
              <w:bottom w:val="single" w:sz="4" w:space="0" w:color="auto"/>
            </w:tcBorders>
            <w:shd w:val="clear" w:color="auto" w:fill="auto"/>
            <w:noWrap/>
            <w:vAlign w:val="bottom"/>
          </w:tcPr>
          <w:p w14:paraId="5B1A6C49" w14:textId="1C0FBA98" w:rsidR="00177909" w:rsidRPr="00306EA2" w:rsidRDefault="00177909" w:rsidP="00177909">
            <w:pPr>
              <w:widowControl/>
              <w:tabs>
                <w:tab w:val="decimal" w:pos="120"/>
              </w:tabs>
              <w:autoSpaceDE/>
              <w:autoSpaceDN/>
              <w:rPr>
                <w:rFonts w:asciiTheme="majorBidi" w:hAnsiTheme="majorBidi" w:cstheme="majorBidi"/>
                <w:b/>
                <w:bCs/>
                <w:color w:val="000000"/>
                <w:sz w:val="20"/>
                <w:szCs w:val="20"/>
                <w14:ligatures w14:val="none"/>
              </w:rPr>
            </w:pPr>
            <w:r>
              <w:rPr>
                <w:rFonts w:ascii="Aptos Narrow" w:hAnsi="Aptos Narrow"/>
                <w:color w:val="000000"/>
              </w:rPr>
              <w:t xml:space="preserve">          6,970 </w:t>
            </w:r>
          </w:p>
        </w:tc>
        <w:tc>
          <w:tcPr>
            <w:tcW w:w="601" w:type="pct"/>
            <w:tcBorders>
              <w:top w:val="single" w:sz="4" w:space="0" w:color="auto"/>
              <w:bottom w:val="single" w:sz="4" w:space="0" w:color="auto"/>
            </w:tcBorders>
            <w:shd w:val="clear" w:color="auto" w:fill="auto"/>
            <w:noWrap/>
            <w:vAlign w:val="bottom"/>
          </w:tcPr>
          <w:p w14:paraId="1FB9224F" w14:textId="27AF1BDF" w:rsidR="00177909" w:rsidRPr="00306EA2" w:rsidRDefault="00177909" w:rsidP="00177909">
            <w:pPr>
              <w:widowControl/>
              <w:tabs>
                <w:tab w:val="decimal" w:pos="120"/>
              </w:tabs>
              <w:autoSpaceDE/>
              <w:autoSpaceDN/>
              <w:rPr>
                <w:rFonts w:asciiTheme="majorBidi" w:hAnsiTheme="majorBidi" w:cstheme="majorBidi"/>
                <w:b/>
                <w:bCs/>
                <w:color w:val="000000"/>
                <w:sz w:val="20"/>
                <w:szCs w:val="20"/>
                <w14:ligatures w14:val="none"/>
              </w:rPr>
            </w:pPr>
            <w:r>
              <w:rPr>
                <w:rFonts w:ascii="Aptos Narrow" w:hAnsi="Aptos Narrow"/>
                <w:color w:val="000000"/>
              </w:rPr>
              <w:t xml:space="preserve">          6,970 </w:t>
            </w:r>
          </w:p>
        </w:tc>
        <w:tc>
          <w:tcPr>
            <w:tcW w:w="601" w:type="pct"/>
            <w:tcBorders>
              <w:top w:val="single" w:sz="4" w:space="0" w:color="auto"/>
              <w:bottom w:val="single" w:sz="4" w:space="0" w:color="auto"/>
            </w:tcBorders>
            <w:shd w:val="clear" w:color="auto" w:fill="auto"/>
            <w:noWrap/>
            <w:vAlign w:val="bottom"/>
          </w:tcPr>
          <w:p w14:paraId="1C65F8DC" w14:textId="6D09892B" w:rsidR="00177909" w:rsidRPr="00306EA2" w:rsidRDefault="00177909" w:rsidP="00177909">
            <w:pPr>
              <w:widowControl/>
              <w:tabs>
                <w:tab w:val="decimal" w:pos="120"/>
              </w:tabs>
              <w:autoSpaceDE/>
              <w:autoSpaceDN/>
              <w:rPr>
                <w:rFonts w:asciiTheme="majorBidi" w:hAnsiTheme="majorBidi" w:cstheme="majorBidi"/>
                <w:b/>
                <w:bCs/>
                <w:color w:val="000000"/>
                <w:sz w:val="20"/>
                <w:szCs w:val="20"/>
                <w14:ligatures w14:val="none"/>
              </w:rPr>
            </w:pPr>
            <w:r>
              <w:rPr>
                <w:rFonts w:ascii="Aptos Narrow" w:hAnsi="Aptos Narrow"/>
                <w:color w:val="000000"/>
              </w:rPr>
              <w:t xml:space="preserve">          6,970 </w:t>
            </w:r>
          </w:p>
        </w:tc>
        <w:tc>
          <w:tcPr>
            <w:tcW w:w="601" w:type="pct"/>
            <w:tcBorders>
              <w:top w:val="single" w:sz="4" w:space="0" w:color="auto"/>
              <w:bottom w:val="single" w:sz="4" w:space="0" w:color="auto"/>
            </w:tcBorders>
            <w:shd w:val="clear" w:color="auto" w:fill="auto"/>
            <w:noWrap/>
            <w:vAlign w:val="bottom"/>
          </w:tcPr>
          <w:p w14:paraId="0F08C054" w14:textId="2E26168C" w:rsidR="00177909" w:rsidRPr="00306EA2" w:rsidRDefault="00177909" w:rsidP="00177909">
            <w:pPr>
              <w:widowControl/>
              <w:tabs>
                <w:tab w:val="decimal" w:pos="120"/>
              </w:tabs>
              <w:autoSpaceDE/>
              <w:autoSpaceDN/>
              <w:rPr>
                <w:rFonts w:asciiTheme="majorBidi" w:hAnsiTheme="majorBidi" w:cstheme="majorBidi"/>
                <w:b/>
                <w:bCs/>
                <w:color w:val="000000"/>
                <w:sz w:val="20"/>
                <w:szCs w:val="20"/>
                <w14:ligatures w14:val="none"/>
              </w:rPr>
            </w:pPr>
            <w:r>
              <w:rPr>
                <w:rFonts w:ascii="Aptos Narrow" w:hAnsi="Aptos Narrow"/>
                <w:color w:val="000000"/>
              </w:rPr>
              <w:t xml:space="preserve">          6,970 </w:t>
            </w:r>
          </w:p>
        </w:tc>
        <w:tc>
          <w:tcPr>
            <w:tcW w:w="601" w:type="pct"/>
            <w:tcBorders>
              <w:top w:val="single" w:sz="4" w:space="0" w:color="auto"/>
              <w:bottom w:val="single" w:sz="4" w:space="0" w:color="auto"/>
            </w:tcBorders>
            <w:shd w:val="clear" w:color="auto" w:fill="auto"/>
            <w:noWrap/>
            <w:vAlign w:val="bottom"/>
          </w:tcPr>
          <w:p w14:paraId="5DC71707" w14:textId="3C96B6A9" w:rsidR="00177909" w:rsidRPr="00306EA2" w:rsidRDefault="00177909" w:rsidP="00177909">
            <w:pPr>
              <w:widowControl/>
              <w:tabs>
                <w:tab w:val="decimal" w:pos="120"/>
              </w:tabs>
              <w:autoSpaceDE/>
              <w:autoSpaceDN/>
              <w:rPr>
                <w:rFonts w:asciiTheme="majorBidi" w:hAnsiTheme="majorBidi" w:cstheme="majorBidi"/>
                <w:b/>
                <w:bCs/>
                <w:color w:val="000000"/>
                <w:sz w:val="20"/>
                <w:szCs w:val="20"/>
                <w14:ligatures w14:val="none"/>
              </w:rPr>
            </w:pPr>
            <w:r>
              <w:rPr>
                <w:rFonts w:ascii="Aptos Narrow" w:hAnsi="Aptos Narrow"/>
                <w:color w:val="000000"/>
              </w:rPr>
              <w:t xml:space="preserve">          6,970 </w:t>
            </w:r>
          </w:p>
        </w:tc>
        <w:tc>
          <w:tcPr>
            <w:tcW w:w="454" w:type="pct"/>
            <w:tcBorders>
              <w:top w:val="single" w:sz="4" w:space="0" w:color="auto"/>
              <w:bottom w:val="single" w:sz="4" w:space="0" w:color="auto"/>
            </w:tcBorders>
            <w:vAlign w:val="bottom"/>
          </w:tcPr>
          <w:p w14:paraId="39CB5071" w14:textId="44606271" w:rsidR="00177909" w:rsidRPr="00306EA2" w:rsidRDefault="00177909" w:rsidP="00177909">
            <w:pPr>
              <w:widowControl/>
              <w:tabs>
                <w:tab w:val="decimal" w:pos="120"/>
              </w:tabs>
              <w:autoSpaceDE/>
              <w:autoSpaceDN/>
              <w:rPr>
                <w:rFonts w:asciiTheme="majorBidi" w:hAnsiTheme="majorBidi" w:cstheme="majorBidi"/>
                <w:b/>
                <w:bCs/>
                <w:color w:val="000000"/>
                <w:sz w:val="20"/>
                <w:szCs w:val="20"/>
                <w14:ligatures w14:val="none"/>
              </w:rPr>
            </w:pPr>
            <w:r>
              <w:rPr>
                <w:rFonts w:ascii="Aptos Narrow" w:hAnsi="Aptos Narrow"/>
                <w:color w:val="000000"/>
              </w:rPr>
              <w:t xml:space="preserve">          6,970 </w:t>
            </w:r>
          </w:p>
        </w:tc>
      </w:tr>
    </w:tbl>
    <w:p w14:paraId="0D1760D9" w14:textId="06AD4893" w:rsidR="00111D6B" w:rsidRDefault="00111D6B" w:rsidP="00111D6B">
      <w:pPr>
        <w:jc w:val="both"/>
        <w:rPr>
          <w:rFonts w:asciiTheme="majorBidi" w:hAnsiTheme="majorBidi" w:cstheme="majorBidi"/>
        </w:rPr>
      </w:pPr>
      <w:r w:rsidRPr="00B67CC0">
        <w:rPr>
          <w:rFonts w:asciiTheme="majorBidi" w:hAnsiTheme="majorBidi" w:cstheme="majorBidi"/>
        </w:rPr>
        <w:t>*, **  indicate significance at 5%, and 1% level, respectively</w:t>
      </w:r>
    </w:p>
    <w:p w14:paraId="54EB0B45" w14:textId="77777777" w:rsidR="00111D6B" w:rsidRPr="00B67CC0" w:rsidRDefault="00111D6B" w:rsidP="00111D6B">
      <w:pPr>
        <w:widowControl/>
        <w:autoSpaceDE/>
        <w:autoSpaceDN/>
        <w:jc w:val="both"/>
        <w:rPr>
          <w:rFonts w:asciiTheme="majorBidi" w:hAnsiTheme="majorBidi" w:cstheme="majorBidi"/>
        </w:rPr>
      </w:pPr>
      <w:r w:rsidRPr="00B67CC0">
        <w:rPr>
          <w:rFonts w:asciiTheme="majorBidi" w:hAnsiTheme="majorBidi" w:cstheme="majorBidi"/>
          <w14:ligatures w14:val="none"/>
        </w:rPr>
        <w:t xml:space="preserve">*Each ESG measure has a polarity indicating whether a higher value is positive or negative. </w:t>
      </w:r>
      <w:r w:rsidRPr="00B67CC0">
        <w:rPr>
          <w:rFonts w:asciiTheme="majorBidi" w:hAnsiTheme="majorBidi" w:cstheme="majorBidi"/>
        </w:rPr>
        <w:t>Companies with no controversies get a score of 100.</w:t>
      </w:r>
    </w:p>
    <w:p w14:paraId="581C36DF" w14:textId="77777777" w:rsidR="00111D6B" w:rsidRDefault="00111D6B" w:rsidP="00111D6B">
      <w:pPr>
        <w:adjustRightInd w:val="0"/>
        <w:spacing w:line="480" w:lineRule="auto"/>
        <w:jc w:val="both"/>
        <w:rPr>
          <w:rFonts w:asciiTheme="majorBidi" w:hAnsiTheme="majorBidi" w:cstheme="majorBidi"/>
        </w:rPr>
      </w:pPr>
    </w:p>
    <w:p w14:paraId="7BAFED72" w14:textId="77777777" w:rsidR="00495D4F" w:rsidRDefault="00495D4F" w:rsidP="00111D6B">
      <w:pPr>
        <w:adjustRightInd w:val="0"/>
        <w:spacing w:line="480" w:lineRule="auto"/>
        <w:jc w:val="both"/>
        <w:rPr>
          <w:rFonts w:asciiTheme="majorBidi" w:hAnsiTheme="majorBidi" w:cstheme="majorBidi"/>
        </w:rPr>
      </w:pPr>
    </w:p>
    <w:p w14:paraId="241D2620" w14:textId="3D4ACD8F" w:rsidR="00241AF6" w:rsidRDefault="00241AF6" w:rsidP="00241AF6">
      <w:pPr>
        <w:adjustRightInd w:val="0"/>
        <w:spacing w:line="480" w:lineRule="auto"/>
        <w:jc w:val="center"/>
        <w:rPr>
          <w:rFonts w:asciiTheme="majorBidi" w:hAnsiTheme="majorBidi" w:cstheme="majorBidi"/>
          <w:b/>
          <w:bCs/>
          <w14:ligatures w14:val="none"/>
        </w:rPr>
      </w:pPr>
      <w:r w:rsidRPr="00B67CC0">
        <w:rPr>
          <w:rFonts w:asciiTheme="majorBidi" w:hAnsiTheme="majorBidi" w:cstheme="majorBidi"/>
          <w:b/>
          <w:bCs/>
          <w14:ligatures w14:val="none"/>
        </w:rPr>
        <w:lastRenderedPageBreak/>
        <w:t xml:space="preserve">Table </w:t>
      </w:r>
      <w:r>
        <w:rPr>
          <w:rFonts w:asciiTheme="majorBidi" w:hAnsiTheme="majorBidi" w:cstheme="majorBidi"/>
          <w:b/>
          <w:bCs/>
          <w14:ligatures w14:val="none"/>
        </w:rPr>
        <w:t>5</w:t>
      </w:r>
      <w:r w:rsidRPr="00B67CC0">
        <w:rPr>
          <w:rFonts w:asciiTheme="majorBidi" w:hAnsiTheme="majorBidi" w:cstheme="majorBidi"/>
          <w:b/>
          <w:bCs/>
          <w14:ligatures w14:val="none"/>
        </w:rPr>
        <w:t xml:space="preserve">: </w:t>
      </w:r>
      <w:r>
        <w:rPr>
          <w:rFonts w:asciiTheme="majorBidi" w:hAnsiTheme="majorBidi" w:cstheme="majorBidi"/>
          <w:b/>
          <w:bCs/>
          <w14:ligatures w14:val="none"/>
        </w:rPr>
        <w:t>Bond Rating</w:t>
      </w:r>
      <w:r w:rsidRPr="00B67CC0">
        <w:rPr>
          <w:rFonts w:asciiTheme="majorBidi" w:hAnsiTheme="majorBidi" w:cstheme="majorBidi"/>
          <w:b/>
          <w:bCs/>
          <w14:ligatures w14:val="none"/>
        </w:rPr>
        <w:t xml:space="preserve"> and ESG Performance</w:t>
      </w:r>
    </w:p>
    <w:p w14:paraId="2A55C5FF" w14:textId="29819D46" w:rsidR="00C93C64" w:rsidRDefault="00C93C64" w:rsidP="00C93C64">
      <w:pPr>
        <w:widowControl/>
        <w:autoSpaceDE/>
        <w:autoSpaceDN/>
        <w:rPr>
          <w:rFonts w:asciiTheme="majorBidi" w:hAnsiTheme="majorBidi" w:cstheme="majorBidi"/>
          <w:b/>
          <w:bCs/>
          <w14:ligatures w14:val="none"/>
        </w:rPr>
      </w:pPr>
      <w:r w:rsidRPr="005C4EB4">
        <w:rPr>
          <w:rFonts w:asciiTheme="majorBidi" w:hAnsiTheme="majorBidi" w:cstheme="majorBidi"/>
          <w:b/>
          <w:bCs/>
          <w14:ligatures w14:val="none"/>
        </w:rPr>
        <w:t>Heckman selection</w:t>
      </w:r>
    </w:p>
    <w:tbl>
      <w:tblPr>
        <w:tblW w:w="5000" w:type="pct"/>
        <w:tblBorders>
          <w:insideH w:val="single" w:sz="4" w:space="0" w:color="auto"/>
        </w:tblBorders>
        <w:tblLook w:val="04A0" w:firstRow="1" w:lastRow="0" w:firstColumn="1" w:lastColumn="0" w:noHBand="0" w:noVBand="1"/>
      </w:tblPr>
      <w:tblGrid>
        <w:gridCol w:w="2087"/>
        <w:gridCol w:w="2019"/>
        <w:gridCol w:w="1520"/>
        <w:gridCol w:w="1520"/>
        <w:gridCol w:w="1520"/>
        <w:gridCol w:w="1520"/>
        <w:gridCol w:w="1520"/>
        <w:gridCol w:w="1254"/>
      </w:tblGrid>
      <w:tr w:rsidR="00C93C64" w:rsidRPr="000E6A87" w14:paraId="6398698A" w14:textId="77777777" w:rsidTr="0034479B">
        <w:tc>
          <w:tcPr>
            <w:tcW w:w="805" w:type="pct"/>
            <w:tcBorders>
              <w:top w:val="double" w:sz="4" w:space="0" w:color="auto"/>
              <w:bottom w:val="single" w:sz="4" w:space="0" w:color="auto"/>
            </w:tcBorders>
            <w:shd w:val="clear" w:color="auto" w:fill="auto"/>
            <w:noWrap/>
            <w:vAlign w:val="bottom"/>
            <w:hideMark/>
          </w:tcPr>
          <w:p w14:paraId="37998647" w14:textId="77777777" w:rsidR="00C93C64" w:rsidRPr="000E6A87" w:rsidRDefault="00C93C64" w:rsidP="0034479B">
            <w:pPr>
              <w:widowControl/>
              <w:autoSpaceDE/>
              <w:autoSpaceDN/>
              <w:rPr>
                <w:rFonts w:asciiTheme="majorBidi" w:hAnsiTheme="majorBidi" w:cstheme="majorBidi"/>
                <w:color w:val="000000"/>
                <w14:ligatures w14:val="none"/>
              </w:rPr>
            </w:pPr>
          </w:p>
        </w:tc>
        <w:tc>
          <w:tcPr>
            <w:tcW w:w="779" w:type="pct"/>
            <w:tcBorders>
              <w:top w:val="double" w:sz="4" w:space="0" w:color="auto"/>
              <w:bottom w:val="single" w:sz="4" w:space="0" w:color="auto"/>
            </w:tcBorders>
            <w:shd w:val="clear" w:color="auto" w:fill="auto"/>
            <w:noWrap/>
            <w:vAlign w:val="bottom"/>
            <w:hideMark/>
          </w:tcPr>
          <w:p w14:paraId="17C125F1"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7442BE">
              <w:t>Heckman selection</w:t>
            </w:r>
          </w:p>
        </w:tc>
        <w:tc>
          <w:tcPr>
            <w:tcW w:w="586" w:type="pct"/>
            <w:tcBorders>
              <w:top w:val="double" w:sz="4" w:space="0" w:color="auto"/>
              <w:bottom w:val="single" w:sz="4" w:space="0" w:color="auto"/>
            </w:tcBorders>
            <w:shd w:val="clear" w:color="auto" w:fill="auto"/>
            <w:noWrap/>
            <w:hideMark/>
          </w:tcPr>
          <w:p w14:paraId="67D9415A"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586" w:type="pct"/>
            <w:tcBorders>
              <w:top w:val="double" w:sz="4" w:space="0" w:color="auto"/>
              <w:bottom w:val="single" w:sz="4" w:space="0" w:color="auto"/>
            </w:tcBorders>
            <w:shd w:val="clear" w:color="auto" w:fill="auto"/>
            <w:noWrap/>
            <w:hideMark/>
          </w:tcPr>
          <w:p w14:paraId="14ACF962"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586" w:type="pct"/>
            <w:tcBorders>
              <w:top w:val="double" w:sz="4" w:space="0" w:color="auto"/>
              <w:bottom w:val="single" w:sz="4" w:space="0" w:color="auto"/>
            </w:tcBorders>
            <w:shd w:val="clear" w:color="auto" w:fill="auto"/>
            <w:noWrap/>
            <w:hideMark/>
          </w:tcPr>
          <w:p w14:paraId="4AE7D65B"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586" w:type="pct"/>
            <w:tcBorders>
              <w:top w:val="double" w:sz="4" w:space="0" w:color="auto"/>
              <w:bottom w:val="single" w:sz="4" w:space="0" w:color="auto"/>
            </w:tcBorders>
            <w:shd w:val="clear" w:color="auto" w:fill="auto"/>
            <w:noWrap/>
            <w:hideMark/>
          </w:tcPr>
          <w:p w14:paraId="3B172BEA"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586" w:type="pct"/>
            <w:tcBorders>
              <w:top w:val="double" w:sz="4" w:space="0" w:color="auto"/>
              <w:bottom w:val="single" w:sz="4" w:space="0" w:color="auto"/>
            </w:tcBorders>
            <w:shd w:val="clear" w:color="auto" w:fill="auto"/>
            <w:noWrap/>
            <w:hideMark/>
          </w:tcPr>
          <w:p w14:paraId="02FC7519"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484" w:type="pct"/>
            <w:tcBorders>
              <w:top w:val="double" w:sz="4" w:space="0" w:color="auto"/>
              <w:bottom w:val="single" w:sz="4" w:space="0" w:color="auto"/>
            </w:tcBorders>
          </w:tcPr>
          <w:p w14:paraId="2A24DF54"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r>
      <w:tr w:rsidR="00C93C64" w:rsidRPr="000E6A87" w14:paraId="5298A223" w14:textId="77777777" w:rsidTr="0034479B">
        <w:tc>
          <w:tcPr>
            <w:tcW w:w="805" w:type="pct"/>
            <w:tcBorders>
              <w:top w:val="single" w:sz="4" w:space="0" w:color="auto"/>
              <w:bottom w:val="double" w:sz="4" w:space="0" w:color="auto"/>
            </w:tcBorders>
            <w:shd w:val="clear" w:color="auto" w:fill="auto"/>
            <w:noWrap/>
            <w:vAlign w:val="bottom"/>
          </w:tcPr>
          <w:p w14:paraId="6915C3AC" w14:textId="77777777" w:rsidR="00C93C64" w:rsidRPr="000E6A87" w:rsidRDefault="00C93C64" w:rsidP="0034479B">
            <w:pPr>
              <w:widowControl/>
              <w:autoSpaceDE/>
              <w:autoSpaceDN/>
              <w:rPr>
                <w:rFonts w:asciiTheme="majorBidi" w:hAnsiTheme="majorBidi" w:cstheme="majorBidi"/>
                <w:color w:val="000000"/>
                <w14:ligatures w14:val="none"/>
              </w:rPr>
            </w:pPr>
            <w:r w:rsidRPr="000E6A87">
              <w:rPr>
                <w:rFonts w:asciiTheme="majorBidi" w:hAnsiTheme="majorBidi" w:cstheme="majorBidi"/>
                <w:color w:val="000000"/>
                <w14:ligatures w14:val="none"/>
              </w:rPr>
              <w:t>Variables</w:t>
            </w:r>
          </w:p>
        </w:tc>
        <w:tc>
          <w:tcPr>
            <w:tcW w:w="779" w:type="pct"/>
            <w:tcBorders>
              <w:top w:val="single" w:sz="4" w:space="0" w:color="auto"/>
              <w:bottom w:val="double" w:sz="4" w:space="0" w:color="auto"/>
            </w:tcBorders>
            <w:shd w:val="clear" w:color="auto" w:fill="auto"/>
            <w:noWrap/>
            <w:vAlign w:val="bottom"/>
          </w:tcPr>
          <w:p w14:paraId="030096F2" w14:textId="77777777" w:rsidR="00C93C64" w:rsidRPr="007442BE" w:rsidRDefault="00C93C64" w:rsidP="0034479B">
            <w:pPr>
              <w:widowControl/>
              <w:autoSpaceDE/>
              <w:autoSpaceDN/>
              <w:ind w:left="222"/>
            </w:pPr>
            <w:r w:rsidRPr="007442BE">
              <w:t>First-stage</w:t>
            </w:r>
          </w:p>
        </w:tc>
        <w:tc>
          <w:tcPr>
            <w:tcW w:w="586" w:type="pct"/>
            <w:tcBorders>
              <w:top w:val="single" w:sz="4" w:space="0" w:color="auto"/>
              <w:bottom w:val="double" w:sz="4" w:space="0" w:color="auto"/>
            </w:tcBorders>
            <w:shd w:val="clear" w:color="auto" w:fill="auto"/>
            <w:noWrap/>
          </w:tcPr>
          <w:p w14:paraId="48AB8640"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7442BE">
              <w:t>Second</w:t>
            </w:r>
            <w:r>
              <w:t xml:space="preserve"> </w:t>
            </w:r>
            <w:r w:rsidRPr="007442BE">
              <w:t xml:space="preserve">stage </w:t>
            </w:r>
          </w:p>
        </w:tc>
        <w:tc>
          <w:tcPr>
            <w:tcW w:w="586" w:type="pct"/>
            <w:tcBorders>
              <w:top w:val="single" w:sz="4" w:space="0" w:color="auto"/>
              <w:bottom w:val="double" w:sz="4" w:space="0" w:color="auto"/>
            </w:tcBorders>
            <w:shd w:val="clear" w:color="auto" w:fill="auto"/>
            <w:noWrap/>
          </w:tcPr>
          <w:p w14:paraId="774A11E7"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147240">
              <w:t>Second stage</w:t>
            </w:r>
          </w:p>
        </w:tc>
        <w:tc>
          <w:tcPr>
            <w:tcW w:w="586" w:type="pct"/>
            <w:tcBorders>
              <w:top w:val="single" w:sz="4" w:space="0" w:color="auto"/>
              <w:bottom w:val="double" w:sz="4" w:space="0" w:color="auto"/>
            </w:tcBorders>
            <w:shd w:val="clear" w:color="auto" w:fill="auto"/>
            <w:noWrap/>
          </w:tcPr>
          <w:p w14:paraId="6F9DB4CA"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147240">
              <w:t>Second stage</w:t>
            </w:r>
          </w:p>
        </w:tc>
        <w:tc>
          <w:tcPr>
            <w:tcW w:w="586" w:type="pct"/>
            <w:tcBorders>
              <w:top w:val="single" w:sz="4" w:space="0" w:color="auto"/>
              <w:bottom w:val="double" w:sz="4" w:space="0" w:color="auto"/>
            </w:tcBorders>
            <w:shd w:val="clear" w:color="auto" w:fill="auto"/>
            <w:noWrap/>
          </w:tcPr>
          <w:p w14:paraId="102D9C8D"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147240">
              <w:t>Second stage</w:t>
            </w:r>
          </w:p>
        </w:tc>
        <w:tc>
          <w:tcPr>
            <w:tcW w:w="586" w:type="pct"/>
            <w:tcBorders>
              <w:top w:val="single" w:sz="4" w:space="0" w:color="auto"/>
              <w:bottom w:val="double" w:sz="4" w:space="0" w:color="auto"/>
            </w:tcBorders>
            <w:shd w:val="clear" w:color="auto" w:fill="auto"/>
            <w:noWrap/>
          </w:tcPr>
          <w:p w14:paraId="40DB87BE"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147240">
              <w:t>Second stage</w:t>
            </w:r>
          </w:p>
        </w:tc>
        <w:tc>
          <w:tcPr>
            <w:tcW w:w="484" w:type="pct"/>
            <w:tcBorders>
              <w:top w:val="single" w:sz="4" w:space="0" w:color="auto"/>
              <w:bottom w:val="double" w:sz="4" w:space="0" w:color="auto"/>
            </w:tcBorders>
          </w:tcPr>
          <w:p w14:paraId="40F3588B" w14:textId="77777777" w:rsidR="00C93C64" w:rsidRPr="007442BE" w:rsidRDefault="00C93C64" w:rsidP="0034479B">
            <w:pPr>
              <w:widowControl/>
              <w:autoSpaceDE/>
              <w:autoSpaceDN/>
              <w:ind w:left="222"/>
              <w:rPr>
                <w:rFonts w:asciiTheme="majorBidi" w:hAnsiTheme="majorBidi" w:cstheme="majorBidi"/>
                <w:color w:val="000000"/>
                <w14:ligatures w14:val="none"/>
              </w:rPr>
            </w:pPr>
            <w:r w:rsidRPr="00147240">
              <w:t>Second stage</w:t>
            </w:r>
          </w:p>
        </w:tc>
      </w:tr>
      <w:tr w:rsidR="00071F85" w:rsidRPr="000E6A87" w14:paraId="47CE4BEF" w14:textId="77777777" w:rsidTr="0034479B">
        <w:tc>
          <w:tcPr>
            <w:tcW w:w="805" w:type="pct"/>
            <w:tcBorders>
              <w:top w:val="double" w:sz="4" w:space="0" w:color="auto"/>
            </w:tcBorders>
            <w:shd w:val="clear" w:color="auto" w:fill="auto"/>
            <w:noWrap/>
            <w:vAlign w:val="center"/>
            <w:hideMark/>
          </w:tcPr>
          <w:p w14:paraId="44910A28"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Issuer Size</w:t>
            </w:r>
          </w:p>
        </w:tc>
        <w:tc>
          <w:tcPr>
            <w:tcW w:w="779" w:type="pct"/>
            <w:tcBorders>
              <w:top w:val="double" w:sz="4" w:space="0" w:color="auto"/>
            </w:tcBorders>
            <w:shd w:val="clear" w:color="auto" w:fill="auto"/>
            <w:noWrap/>
            <w:vAlign w:val="bottom"/>
            <w:hideMark/>
          </w:tcPr>
          <w:p w14:paraId="0B3F7A86" w14:textId="47AD3E97" w:rsidR="00071F85" w:rsidRPr="0005636E" w:rsidRDefault="00071F85" w:rsidP="00071F85">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0.435***</w:t>
            </w:r>
          </w:p>
        </w:tc>
        <w:tc>
          <w:tcPr>
            <w:tcW w:w="586" w:type="pct"/>
            <w:tcBorders>
              <w:top w:val="double" w:sz="4" w:space="0" w:color="auto"/>
            </w:tcBorders>
            <w:shd w:val="clear" w:color="auto" w:fill="auto"/>
            <w:noWrap/>
            <w:vAlign w:val="bottom"/>
            <w:hideMark/>
          </w:tcPr>
          <w:p w14:paraId="1D4C1FED" w14:textId="2AFB1DF3"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2.267***</w:t>
            </w:r>
          </w:p>
        </w:tc>
        <w:tc>
          <w:tcPr>
            <w:tcW w:w="586" w:type="pct"/>
            <w:tcBorders>
              <w:top w:val="double" w:sz="4" w:space="0" w:color="auto"/>
            </w:tcBorders>
            <w:shd w:val="clear" w:color="auto" w:fill="auto"/>
            <w:noWrap/>
            <w:vAlign w:val="bottom"/>
            <w:hideMark/>
          </w:tcPr>
          <w:p w14:paraId="0C719840" w14:textId="10B63FB0"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2.01***</w:t>
            </w:r>
          </w:p>
        </w:tc>
        <w:tc>
          <w:tcPr>
            <w:tcW w:w="586" w:type="pct"/>
            <w:tcBorders>
              <w:top w:val="double" w:sz="4" w:space="0" w:color="auto"/>
            </w:tcBorders>
            <w:shd w:val="clear" w:color="auto" w:fill="auto"/>
            <w:noWrap/>
            <w:vAlign w:val="bottom"/>
            <w:hideMark/>
          </w:tcPr>
          <w:p w14:paraId="7CEA77DC" w14:textId="73CBFA61"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1.983***</w:t>
            </w:r>
          </w:p>
        </w:tc>
        <w:tc>
          <w:tcPr>
            <w:tcW w:w="586" w:type="pct"/>
            <w:tcBorders>
              <w:top w:val="double" w:sz="4" w:space="0" w:color="auto"/>
            </w:tcBorders>
            <w:shd w:val="clear" w:color="auto" w:fill="auto"/>
            <w:noWrap/>
            <w:vAlign w:val="bottom"/>
            <w:hideMark/>
          </w:tcPr>
          <w:p w14:paraId="4A051DFE" w14:textId="1475810F"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roofErr w:type="gramStart"/>
            <w:r>
              <w:rPr>
                <w:rFonts w:ascii="Aptos Narrow" w:hAnsi="Aptos Narrow"/>
                <w:color w:val="000000"/>
              </w:rPr>
              <w:t>1.94**</w:t>
            </w:r>
            <w:proofErr w:type="gramEnd"/>
            <w:r>
              <w:rPr>
                <w:rFonts w:ascii="Aptos Narrow" w:hAnsi="Aptos Narrow"/>
                <w:color w:val="000000"/>
              </w:rPr>
              <w:t>*</w:t>
            </w:r>
          </w:p>
        </w:tc>
        <w:tc>
          <w:tcPr>
            <w:tcW w:w="586" w:type="pct"/>
            <w:tcBorders>
              <w:top w:val="double" w:sz="4" w:space="0" w:color="auto"/>
            </w:tcBorders>
            <w:shd w:val="clear" w:color="auto" w:fill="auto"/>
            <w:noWrap/>
            <w:vAlign w:val="bottom"/>
            <w:hideMark/>
          </w:tcPr>
          <w:p w14:paraId="415C88D8" w14:textId="369C4DAF"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2.01***</w:t>
            </w:r>
          </w:p>
        </w:tc>
        <w:tc>
          <w:tcPr>
            <w:tcW w:w="484" w:type="pct"/>
            <w:tcBorders>
              <w:top w:val="double" w:sz="4" w:space="0" w:color="auto"/>
            </w:tcBorders>
            <w:vAlign w:val="bottom"/>
          </w:tcPr>
          <w:p w14:paraId="15FA8BB5" w14:textId="7E198B85"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2.242***</w:t>
            </w:r>
          </w:p>
        </w:tc>
      </w:tr>
      <w:tr w:rsidR="00071F85" w:rsidRPr="000E6A87" w14:paraId="10CA67FD" w14:textId="77777777" w:rsidTr="0034479B">
        <w:tc>
          <w:tcPr>
            <w:tcW w:w="805" w:type="pct"/>
            <w:shd w:val="clear" w:color="auto" w:fill="auto"/>
            <w:noWrap/>
            <w:vAlign w:val="center"/>
            <w:hideMark/>
          </w:tcPr>
          <w:p w14:paraId="5043FDF8"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Leverage</w:t>
            </w:r>
          </w:p>
        </w:tc>
        <w:tc>
          <w:tcPr>
            <w:tcW w:w="779" w:type="pct"/>
            <w:shd w:val="clear" w:color="auto" w:fill="auto"/>
            <w:noWrap/>
            <w:vAlign w:val="bottom"/>
            <w:hideMark/>
          </w:tcPr>
          <w:p w14:paraId="5B72ED62" w14:textId="6CCA910B" w:rsidR="00071F85" w:rsidRPr="0005636E" w:rsidRDefault="00071F85" w:rsidP="00071F85">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-0.005***</w:t>
            </w:r>
          </w:p>
        </w:tc>
        <w:tc>
          <w:tcPr>
            <w:tcW w:w="586" w:type="pct"/>
            <w:shd w:val="clear" w:color="auto" w:fill="auto"/>
            <w:noWrap/>
            <w:vAlign w:val="bottom"/>
            <w:hideMark/>
          </w:tcPr>
          <w:p w14:paraId="63099DB8" w14:textId="40521DA9"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-0.014***</w:t>
            </w:r>
          </w:p>
        </w:tc>
        <w:tc>
          <w:tcPr>
            <w:tcW w:w="586" w:type="pct"/>
            <w:shd w:val="clear" w:color="auto" w:fill="auto"/>
            <w:noWrap/>
            <w:vAlign w:val="bottom"/>
            <w:hideMark/>
          </w:tcPr>
          <w:p w14:paraId="02F482E0" w14:textId="653C10B3"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-0.014***</w:t>
            </w:r>
          </w:p>
        </w:tc>
        <w:tc>
          <w:tcPr>
            <w:tcW w:w="586" w:type="pct"/>
            <w:shd w:val="clear" w:color="auto" w:fill="auto"/>
            <w:noWrap/>
            <w:vAlign w:val="bottom"/>
            <w:hideMark/>
          </w:tcPr>
          <w:p w14:paraId="794D757B" w14:textId="23F7D5B4"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-0.015***</w:t>
            </w:r>
          </w:p>
        </w:tc>
        <w:tc>
          <w:tcPr>
            <w:tcW w:w="586" w:type="pct"/>
            <w:shd w:val="clear" w:color="auto" w:fill="auto"/>
            <w:noWrap/>
            <w:vAlign w:val="bottom"/>
            <w:hideMark/>
          </w:tcPr>
          <w:p w14:paraId="2BA0F309" w14:textId="024C31E5"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-0.016***</w:t>
            </w:r>
          </w:p>
        </w:tc>
        <w:tc>
          <w:tcPr>
            <w:tcW w:w="586" w:type="pct"/>
            <w:shd w:val="clear" w:color="auto" w:fill="auto"/>
            <w:noWrap/>
            <w:vAlign w:val="bottom"/>
            <w:hideMark/>
          </w:tcPr>
          <w:p w14:paraId="58987AB5" w14:textId="129EA120"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-0.016***</w:t>
            </w:r>
          </w:p>
        </w:tc>
        <w:tc>
          <w:tcPr>
            <w:tcW w:w="484" w:type="pct"/>
            <w:vAlign w:val="bottom"/>
          </w:tcPr>
          <w:p w14:paraId="6CA854CF" w14:textId="66AEC096"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-0.013***</w:t>
            </w:r>
          </w:p>
        </w:tc>
      </w:tr>
      <w:tr w:rsidR="00071F85" w:rsidRPr="000E6A87" w14:paraId="6E1A80A3" w14:textId="77777777" w:rsidTr="0034479B">
        <w:tc>
          <w:tcPr>
            <w:tcW w:w="805" w:type="pct"/>
            <w:shd w:val="clear" w:color="auto" w:fill="auto"/>
            <w:noWrap/>
            <w:vAlign w:val="bottom"/>
            <w:hideMark/>
          </w:tcPr>
          <w:p w14:paraId="4003FFD8" w14:textId="77777777" w:rsidR="00071F85" w:rsidRPr="004709F5" w:rsidRDefault="00071F85" w:rsidP="00071F85">
            <w:pPr>
              <w:widowControl/>
              <w:autoSpaceDE/>
              <w:autoSpaceDN/>
              <w:rPr>
                <w:rFonts w:asciiTheme="majorBidi" w:hAnsiTheme="majorBidi" w:cstheme="majorBidi"/>
                <w:color w:val="000000"/>
                <w14:ligatures w14:val="none"/>
              </w:rPr>
            </w:pPr>
            <w:proofErr w:type="spellStart"/>
            <w:r>
              <w:rPr>
                <w:color w:val="000000"/>
              </w:rPr>
              <w:t>AltimaZ</w:t>
            </w:r>
            <w:proofErr w:type="spellEnd"/>
          </w:p>
        </w:tc>
        <w:tc>
          <w:tcPr>
            <w:tcW w:w="779" w:type="pct"/>
            <w:shd w:val="clear" w:color="auto" w:fill="auto"/>
            <w:noWrap/>
            <w:vAlign w:val="bottom"/>
            <w:hideMark/>
          </w:tcPr>
          <w:p w14:paraId="747ADE61" w14:textId="1A1F1E40" w:rsidR="00071F85" w:rsidRPr="0005636E" w:rsidRDefault="00071F85" w:rsidP="00071F85">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0.013***</w:t>
            </w:r>
          </w:p>
        </w:tc>
        <w:tc>
          <w:tcPr>
            <w:tcW w:w="586" w:type="pct"/>
            <w:shd w:val="clear" w:color="auto" w:fill="auto"/>
            <w:noWrap/>
            <w:vAlign w:val="bottom"/>
            <w:hideMark/>
          </w:tcPr>
          <w:p w14:paraId="28B21212"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26C067E"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1541F455"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1E470B37"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26860883"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7F0140A9"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r>
      <w:tr w:rsidR="00071F85" w:rsidRPr="000E6A87" w14:paraId="4DE50CAA" w14:textId="77777777" w:rsidTr="0034479B">
        <w:tc>
          <w:tcPr>
            <w:tcW w:w="805" w:type="pct"/>
            <w:shd w:val="clear" w:color="auto" w:fill="auto"/>
            <w:noWrap/>
            <w:vAlign w:val="center"/>
            <w:hideMark/>
          </w:tcPr>
          <w:p w14:paraId="09C5E720" w14:textId="77777777" w:rsidR="00071F85" w:rsidRPr="004709F5" w:rsidRDefault="00071F85" w:rsidP="00071F85">
            <w:pPr>
              <w:widowControl/>
              <w:autoSpaceDE/>
              <w:autoSpaceDN/>
              <w:rPr>
                <w:rFonts w:asciiTheme="majorBidi" w:hAnsiTheme="majorBidi" w:cstheme="majorBidi"/>
                <w:color w:val="000000"/>
                <w14:ligatures w14:val="none"/>
              </w:rPr>
            </w:pPr>
            <w:r>
              <w:t>Return on Assets</w:t>
            </w:r>
          </w:p>
        </w:tc>
        <w:tc>
          <w:tcPr>
            <w:tcW w:w="779" w:type="pct"/>
            <w:shd w:val="clear" w:color="auto" w:fill="auto"/>
            <w:noWrap/>
            <w:vAlign w:val="bottom"/>
            <w:hideMark/>
          </w:tcPr>
          <w:p w14:paraId="08407E7C" w14:textId="1F873919" w:rsidR="00071F85" w:rsidRPr="0005636E" w:rsidRDefault="00071F85" w:rsidP="00071F85">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0.017***</w:t>
            </w:r>
          </w:p>
        </w:tc>
        <w:tc>
          <w:tcPr>
            <w:tcW w:w="586" w:type="pct"/>
            <w:shd w:val="clear" w:color="auto" w:fill="auto"/>
            <w:noWrap/>
            <w:vAlign w:val="bottom"/>
            <w:hideMark/>
          </w:tcPr>
          <w:p w14:paraId="2D4115F1" w14:textId="7F8D3C01"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0.131***</w:t>
            </w:r>
          </w:p>
        </w:tc>
        <w:tc>
          <w:tcPr>
            <w:tcW w:w="586" w:type="pct"/>
            <w:shd w:val="clear" w:color="auto" w:fill="auto"/>
            <w:noWrap/>
            <w:vAlign w:val="bottom"/>
            <w:hideMark/>
          </w:tcPr>
          <w:p w14:paraId="34F38F8D" w14:textId="10E02075"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0.128***</w:t>
            </w:r>
          </w:p>
        </w:tc>
        <w:tc>
          <w:tcPr>
            <w:tcW w:w="586" w:type="pct"/>
            <w:shd w:val="clear" w:color="auto" w:fill="auto"/>
            <w:noWrap/>
            <w:vAlign w:val="bottom"/>
            <w:hideMark/>
          </w:tcPr>
          <w:p w14:paraId="7ED6D542" w14:textId="0D1DF49B"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0.122***</w:t>
            </w:r>
          </w:p>
        </w:tc>
        <w:tc>
          <w:tcPr>
            <w:tcW w:w="586" w:type="pct"/>
            <w:shd w:val="clear" w:color="auto" w:fill="auto"/>
            <w:noWrap/>
            <w:vAlign w:val="bottom"/>
            <w:hideMark/>
          </w:tcPr>
          <w:p w14:paraId="12C0384B" w14:textId="40739BB0"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0.126***</w:t>
            </w:r>
          </w:p>
        </w:tc>
        <w:tc>
          <w:tcPr>
            <w:tcW w:w="586" w:type="pct"/>
            <w:shd w:val="clear" w:color="auto" w:fill="auto"/>
            <w:noWrap/>
            <w:vAlign w:val="bottom"/>
            <w:hideMark/>
          </w:tcPr>
          <w:p w14:paraId="733C5DB3" w14:textId="628A3DAE"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0.122***</w:t>
            </w:r>
          </w:p>
        </w:tc>
        <w:tc>
          <w:tcPr>
            <w:tcW w:w="484" w:type="pct"/>
            <w:vAlign w:val="bottom"/>
          </w:tcPr>
          <w:p w14:paraId="6DE38EAA" w14:textId="340173B5"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0.131***</w:t>
            </w:r>
          </w:p>
        </w:tc>
      </w:tr>
      <w:tr w:rsidR="00071F85" w:rsidRPr="000E6A87" w14:paraId="1518F0AD" w14:textId="77777777" w:rsidTr="0034479B">
        <w:tc>
          <w:tcPr>
            <w:tcW w:w="805" w:type="pct"/>
            <w:shd w:val="clear" w:color="auto" w:fill="auto"/>
            <w:noWrap/>
            <w:vAlign w:val="bottom"/>
            <w:hideMark/>
          </w:tcPr>
          <w:p w14:paraId="6723A7CD"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Big4</w:t>
            </w:r>
          </w:p>
        </w:tc>
        <w:tc>
          <w:tcPr>
            <w:tcW w:w="779" w:type="pct"/>
            <w:shd w:val="clear" w:color="auto" w:fill="auto"/>
            <w:noWrap/>
            <w:vAlign w:val="bottom"/>
            <w:hideMark/>
          </w:tcPr>
          <w:p w14:paraId="5DE95FB4" w14:textId="1CDFCAED" w:rsidR="00071F85" w:rsidRPr="0005636E" w:rsidRDefault="00071F85" w:rsidP="00071F85">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0.379***</w:t>
            </w:r>
          </w:p>
        </w:tc>
        <w:tc>
          <w:tcPr>
            <w:tcW w:w="586" w:type="pct"/>
            <w:shd w:val="clear" w:color="auto" w:fill="auto"/>
            <w:vAlign w:val="bottom"/>
          </w:tcPr>
          <w:p w14:paraId="5D095C5F" w14:textId="3FE19478"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2.268***</w:t>
            </w:r>
          </w:p>
        </w:tc>
        <w:tc>
          <w:tcPr>
            <w:tcW w:w="586" w:type="pct"/>
            <w:shd w:val="clear" w:color="auto" w:fill="auto"/>
            <w:noWrap/>
            <w:vAlign w:val="bottom"/>
            <w:hideMark/>
          </w:tcPr>
          <w:p w14:paraId="4B299C80" w14:textId="25B21B9F"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2.278***</w:t>
            </w:r>
          </w:p>
        </w:tc>
        <w:tc>
          <w:tcPr>
            <w:tcW w:w="586" w:type="pct"/>
            <w:shd w:val="clear" w:color="auto" w:fill="auto"/>
            <w:noWrap/>
            <w:vAlign w:val="bottom"/>
            <w:hideMark/>
          </w:tcPr>
          <w:p w14:paraId="1665BB3C" w14:textId="21CBD592"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2.202***</w:t>
            </w:r>
          </w:p>
        </w:tc>
        <w:tc>
          <w:tcPr>
            <w:tcW w:w="586" w:type="pct"/>
            <w:shd w:val="clear" w:color="auto" w:fill="auto"/>
            <w:noWrap/>
            <w:vAlign w:val="bottom"/>
            <w:hideMark/>
          </w:tcPr>
          <w:p w14:paraId="57CCB361" w14:textId="0DD8E23E"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2.223***</w:t>
            </w:r>
          </w:p>
        </w:tc>
        <w:tc>
          <w:tcPr>
            <w:tcW w:w="586" w:type="pct"/>
            <w:shd w:val="clear" w:color="auto" w:fill="auto"/>
            <w:noWrap/>
            <w:vAlign w:val="bottom"/>
            <w:hideMark/>
          </w:tcPr>
          <w:p w14:paraId="630A6E1F" w14:textId="52C1BF95"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2.277***</w:t>
            </w:r>
          </w:p>
        </w:tc>
        <w:tc>
          <w:tcPr>
            <w:tcW w:w="484" w:type="pct"/>
            <w:vAlign w:val="bottom"/>
          </w:tcPr>
          <w:p w14:paraId="222F8BF5" w14:textId="384A236B"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2.262***</w:t>
            </w:r>
          </w:p>
        </w:tc>
      </w:tr>
      <w:tr w:rsidR="00071F85" w:rsidRPr="000E6A87" w14:paraId="3AF6AB66" w14:textId="77777777" w:rsidTr="0034479B">
        <w:tc>
          <w:tcPr>
            <w:tcW w:w="805" w:type="pct"/>
            <w:shd w:val="clear" w:color="auto" w:fill="auto"/>
            <w:noWrap/>
            <w:vAlign w:val="center"/>
            <w:hideMark/>
          </w:tcPr>
          <w:p w14:paraId="78D5D8F0" w14:textId="77777777" w:rsidR="00071F85" w:rsidRPr="004709F5" w:rsidRDefault="00071F85" w:rsidP="00071F85">
            <w:pPr>
              <w:widowControl/>
              <w:autoSpaceDE/>
              <w:autoSpaceDN/>
              <w:ind w:right="-195"/>
              <w:rPr>
                <w:rFonts w:asciiTheme="majorBidi" w:hAnsiTheme="majorBidi" w:cstheme="majorBidi"/>
                <w:color w:val="000000"/>
                <w14:ligatures w14:val="none"/>
              </w:rPr>
            </w:pPr>
            <w:r>
              <w:rPr>
                <w:color w:val="000000"/>
              </w:rPr>
              <w:t>ESG Combined *</w:t>
            </w:r>
          </w:p>
        </w:tc>
        <w:tc>
          <w:tcPr>
            <w:tcW w:w="779" w:type="pct"/>
            <w:shd w:val="clear" w:color="auto" w:fill="auto"/>
            <w:noWrap/>
            <w:vAlign w:val="bottom"/>
            <w:hideMark/>
          </w:tcPr>
          <w:p w14:paraId="3EF062F4"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2710F68B" w14:textId="463C4F73"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0.018***</w:t>
            </w:r>
          </w:p>
        </w:tc>
        <w:tc>
          <w:tcPr>
            <w:tcW w:w="586" w:type="pct"/>
            <w:shd w:val="clear" w:color="auto" w:fill="auto"/>
            <w:noWrap/>
            <w:vAlign w:val="bottom"/>
            <w:hideMark/>
          </w:tcPr>
          <w:p w14:paraId="50CF0C69"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321BF0C9"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74F12449"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6209F97B"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33B4D25B"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r>
      <w:tr w:rsidR="00071F85" w:rsidRPr="000E6A87" w14:paraId="76909A98" w14:textId="77777777" w:rsidTr="0034479B">
        <w:tc>
          <w:tcPr>
            <w:tcW w:w="805" w:type="pct"/>
            <w:shd w:val="clear" w:color="auto" w:fill="auto"/>
            <w:noWrap/>
            <w:vAlign w:val="center"/>
            <w:hideMark/>
          </w:tcPr>
          <w:p w14:paraId="241A46B1"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 xml:space="preserve">  ESG Controversies </w:t>
            </w:r>
          </w:p>
        </w:tc>
        <w:tc>
          <w:tcPr>
            <w:tcW w:w="779" w:type="pct"/>
            <w:shd w:val="clear" w:color="auto" w:fill="auto"/>
            <w:noWrap/>
            <w:vAlign w:val="bottom"/>
            <w:hideMark/>
          </w:tcPr>
          <w:p w14:paraId="1F16B797"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458DD3AD"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6CFE7A0C" w14:textId="079575D1"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-0.012***</w:t>
            </w:r>
          </w:p>
        </w:tc>
        <w:tc>
          <w:tcPr>
            <w:tcW w:w="586" w:type="pct"/>
            <w:shd w:val="clear" w:color="auto" w:fill="auto"/>
            <w:vAlign w:val="bottom"/>
          </w:tcPr>
          <w:p w14:paraId="799D1544"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1A45DC19"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05197172"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3C21C508"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r>
      <w:tr w:rsidR="00071F85" w:rsidRPr="000E6A87" w14:paraId="2BCA36F9" w14:textId="77777777" w:rsidTr="0034479B">
        <w:tc>
          <w:tcPr>
            <w:tcW w:w="805" w:type="pct"/>
            <w:shd w:val="clear" w:color="auto" w:fill="auto"/>
            <w:noWrap/>
            <w:vAlign w:val="center"/>
            <w:hideMark/>
          </w:tcPr>
          <w:p w14:paraId="2487BF7E"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 xml:space="preserve">  ESG </w:t>
            </w:r>
          </w:p>
        </w:tc>
        <w:tc>
          <w:tcPr>
            <w:tcW w:w="779" w:type="pct"/>
            <w:shd w:val="clear" w:color="auto" w:fill="auto"/>
            <w:noWrap/>
            <w:vAlign w:val="bottom"/>
            <w:hideMark/>
          </w:tcPr>
          <w:p w14:paraId="06CA0B6F"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10255FD1"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04D99B23"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2B2148C3" w14:textId="1AEADF93"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0.041***</w:t>
            </w:r>
          </w:p>
        </w:tc>
        <w:tc>
          <w:tcPr>
            <w:tcW w:w="586" w:type="pct"/>
            <w:shd w:val="clear" w:color="auto" w:fill="auto"/>
            <w:vAlign w:val="bottom"/>
          </w:tcPr>
          <w:p w14:paraId="36F11969"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A68B04D"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7D406E08"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r>
      <w:tr w:rsidR="00071F85" w:rsidRPr="000E6A87" w14:paraId="5747CB4C" w14:textId="77777777" w:rsidTr="0034479B">
        <w:tc>
          <w:tcPr>
            <w:tcW w:w="805" w:type="pct"/>
            <w:shd w:val="clear" w:color="auto" w:fill="auto"/>
            <w:noWrap/>
            <w:vAlign w:val="center"/>
            <w:hideMark/>
          </w:tcPr>
          <w:p w14:paraId="07ABB0EC"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 xml:space="preserve">   - Environment Pillar </w:t>
            </w:r>
          </w:p>
        </w:tc>
        <w:tc>
          <w:tcPr>
            <w:tcW w:w="779" w:type="pct"/>
            <w:shd w:val="clear" w:color="auto" w:fill="auto"/>
            <w:noWrap/>
            <w:vAlign w:val="bottom"/>
            <w:hideMark/>
          </w:tcPr>
          <w:p w14:paraId="60AF05A1"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3577DEA9"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2A5C5D2"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3CA2ED9E"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182A88E" w14:textId="0903EBF3"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0.035***</w:t>
            </w:r>
          </w:p>
        </w:tc>
        <w:tc>
          <w:tcPr>
            <w:tcW w:w="586" w:type="pct"/>
            <w:shd w:val="clear" w:color="auto" w:fill="auto"/>
            <w:noWrap/>
            <w:vAlign w:val="bottom"/>
            <w:hideMark/>
          </w:tcPr>
          <w:p w14:paraId="1C89277B"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54BC4FA2"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r>
      <w:tr w:rsidR="00071F85" w:rsidRPr="000E6A87" w14:paraId="5FB4E8CA" w14:textId="77777777" w:rsidTr="0034479B">
        <w:tc>
          <w:tcPr>
            <w:tcW w:w="805" w:type="pct"/>
            <w:shd w:val="clear" w:color="auto" w:fill="auto"/>
            <w:noWrap/>
            <w:vAlign w:val="center"/>
            <w:hideMark/>
          </w:tcPr>
          <w:p w14:paraId="784F0D74" w14:textId="77777777" w:rsidR="00071F85" w:rsidRPr="004709F5" w:rsidRDefault="00071F85" w:rsidP="00071F85">
            <w:pPr>
              <w:widowControl/>
              <w:tabs>
                <w:tab w:val="decimal" w:pos="73"/>
              </w:tabs>
              <w:autoSpaceDE/>
              <w:autoSpaceDN/>
              <w:rPr>
                <w:rFonts w:asciiTheme="majorBidi" w:hAnsiTheme="majorBidi" w:cstheme="majorBidi"/>
                <w:color w:val="000000"/>
                <w14:ligatures w14:val="none"/>
              </w:rPr>
            </w:pPr>
            <w:r>
              <w:rPr>
                <w:color w:val="000000"/>
              </w:rPr>
              <w:t xml:space="preserve">   - Social Pillar </w:t>
            </w:r>
          </w:p>
        </w:tc>
        <w:tc>
          <w:tcPr>
            <w:tcW w:w="779" w:type="pct"/>
            <w:shd w:val="clear" w:color="auto" w:fill="auto"/>
            <w:noWrap/>
            <w:vAlign w:val="bottom"/>
            <w:hideMark/>
          </w:tcPr>
          <w:p w14:paraId="0BC41C19"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7D768F6B"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4868FFBF"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7F28103C"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3F03C36F"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0E6D5A0F" w14:textId="11AE6323"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0.035***</w:t>
            </w:r>
          </w:p>
        </w:tc>
        <w:tc>
          <w:tcPr>
            <w:tcW w:w="484" w:type="pct"/>
            <w:vAlign w:val="bottom"/>
          </w:tcPr>
          <w:p w14:paraId="1424B809"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r>
      <w:tr w:rsidR="00071F85" w:rsidRPr="000E6A87" w14:paraId="4C1B4F5A" w14:textId="77777777" w:rsidTr="0034479B">
        <w:tc>
          <w:tcPr>
            <w:tcW w:w="805" w:type="pct"/>
            <w:shd w:val="clear" w:color="auto" w:fill="auto"/>
            <w:noWrap/>
            <w:vAlign w:val="center"/>
            <w:hideMark/>
          </w:tcPr>
          <w:p w14:paraId="3A537E13"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 xml:space="preserve">  - Governance Pillar </w:t>
            </w:r>
          </w:p>
        </w:tc>
        <w:tc>
          <w:tcPr>
            <w:tcW w:w="779" w:type="pct"/>
            <w:shd w:val="clear" w:color="auto" w:fill="auto"/>
            <w:noWrap/>
            <w:vAlign w:val="bottom"/>
            <w:hideMark/>
          </w:tcPr>
          <w:p w14:paraId="30187FF0"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36F0D648"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059558E"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0E341AC8"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7FF4173C"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22C5BEC" w14:textId="77777777"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0ACF41C8" w14:textId="18CCCB5F"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0.002</w:t>
            </w:r>
          </w:p>
        </w:tc>
      </w:tr>
      <w:tr w:rsidR="00071F85" w:rsidRPr="000E6A87" w14:paraId="3B1685BD" w14:textId="77777777" w:rsidTr="0034479B">
        <w:tc>
          <w:tcPr>
            <w:tcW w:w="805" w:type="pct"/>
            <w:shd w:val="clear" w:color="auto" w:fill="auto"/>
            <w:noWrap/>
            <w:vAlign w:val="center"/>
            <w:hideMark/>
          </w:tcPr>
          <w:p w14:paraId="4EC0044A"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Moody's Rating</w:t>
            </w:r>
          </w:p>
        </w:tc>
        <w:tc>
          <w:tcPr>
            <w:tcW w:w="779" w:type="pct"/>
            <w:shd w:val="clear" w:color="auto" w:fill="auto"/>
            <w:noWrap/>
            <w:vAlign w:val="bottom"/>
            <w:hideMark/>
          </w:tcPr>
          <w:p w14:paraId="3771677F"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149C3A19" w14:textId="03A2BEBA"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486D8515" w14:textId="157B966D"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2C9752B8" w14:textId="4146978F"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444D1963" w14:textId="4C31191F"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CD3BBD0" w14:textId="129DA1BE"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41D8F407" w14:textId="4452A394"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p>
        </w:tc>
      </w:tr>
      <w:tr w:rsidR="00071F85" w:rsidRPr="000E6A87" w14:paraId="0012436A" w14:textId="77777777" w:rsidTr="0034479B">
        <w:tc>
          <w:tcPr>
            <w:tcW w:w="805" w:type="pct"/>
            <w:shd w:val="clear" w:color="auto" w:fill="auto"/>
            <w:noWrap/>
            <w:vAlign w:val="bottom"/>
            <w:hideMark/>
          </w:tcPr>
          <w:p w14:paraId="6A156B4A"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Duration</w:t>
            </w:r>
          </w:p>
        </w:tc>
        <w:tc>
          <w:tcPr>
            <w:tcW w:w="779" w:type="pct"/>
            <w:shd w:val="clear" w:color="auto" w:fill="auto"/>
            <w:noWrap/>
            <w:vAlign w:val="bottom"/>
            <w:hideMark/>
          </w:tcPr>
          <w:p w14:paraId="52C1E899"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740512F1" w14:textId="70A47502"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c>
          <w:tcPr>
            <w:tcW w:w="586" w:type="pct"/>
            <w:shd w:val="clear" w:color="auto" w:fill="auto"/>
            <w:noWrap/>
            <w:vAlign w:val="bottom"/>
            <w:hideMark/>
          </w:tcPr>
          <w:p w14:paraId="01B48DD5" w14:textId="0E60BA20"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-0.009</w:t>
            </w:r>
          </w:p>
        </w:tc>
        <w:tc>
          <w:tcPr>
            <w:tcW w:w="586" w:type="pct"/>
            <w:shd w:val="clear" w:color="auto" w:fill="auto"/>
            <w:noWrap/>
            <w:vAlign w:val="bottom"/>
            <w:hideMark/>
          </w:tcPr>
          <w:p w14:paraId="06B1D59C" w14:textId="03FF934F"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-0.013</w:t>
            </w:r>
          </w:p>
        </w:tc>
        <w:tc>
          <w:tcPr>
            <w:tcW w:w="586" w:type="pct"/>
            <w:shd w:val="clear" w:color="auto" w:fill="auto"/>
            <w:noWrap/>
            <w:vAlign w:val="bottom"/>
            <w:hideMark/>
          </w:tcPr>
          <w:p w14:paraId="6F5C821C" w14:textId="17CD9B78"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-0.016</w:t>
            </w:r>
          </w:p>
        </w:tc>
        <w:tc>
          <w:tcPr>
            <w:tcW w:w="586" w:type="pct"/>
            <w:shd w:val="clear" w:color="auto" w:fill="auto"/>
            <w:noWrap/>
            <w:vAlign w:val="bottom"/>
            <w:hideMark/>
          </w:tcPr>
          <w:p w14:paraId="4AF86519" w14:textId="28179BA8"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-0.013</w:t>
            </w:r>
          </w:p>
        </w:tc>
        <w:tc>
          <w:tcPr>
            <w:tcW w:w="484" w:type="pct"/>
            <w:vAlign w:val="bottom"/>
          </w:tcPr>
          <w:p w14:paraId="364B413B" w14:textId="25EC0AF3"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w:t>
            </w:r>
          </w:p>
        </w:tc>
      </w:tr>
      <w:tr w:rsidR="00071F85" w:rsidRPr="000E6A87" w14:paraId="6E4BE808" w14:textId="77777777" w:rsidTr="0034479B">
        <w:tc>
          <w:tcPr>
            <w:tcW w:w="805" w:type="pct"/>
            <w:shd w:val="clear" w:color="auto" w:fill="auto"/>
            <w:noWrap/>
            <w:vAlign w:val="bottom"/>
            <w:hideMark/>
          </w:tcPr>
          <w:p w14:paraId="57B0D7DA"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Maturity</w:t>
            </w:r>
          </w:p>
        </w:tc>
        <w:tc>
          <w:tcPr>
            <w:tcW w:w="779" w:type="pct"/>
            <w:shd w:val="clear" w:color="auto" w:fill="auto"/>
            <w:noWrap/>
            <w:vAlign w:val="bottom"/>
            <w:hideMark/>
          </w:tcPr>
          <w:p w14:paraId="3655B5B1"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11281335" w14:textId="496379FD"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-0.15</w:t>
            </w:r>
          </w:p>
        </w:tc>
        <w:tc>
          <w:tcPr>
            <w:tcW w:w="586" w:type="pct"/>
            <w:shd w:val="clear" w:color="auto" w:fill="auto"/>
            <w:noWrap/>
            <w:vAlign w:val="bottom"/>
            <w:hideMark/>
          </w:tcPr>
          <w:p w14:paraId="49758BCE" w14:textId="5AA27EF1"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-0.148</w:t>
            </w:r>
          </w:p>
        </w:tc>
        <w:tc>
          <w:tcPr>
            <w:tcW w:w="586" w:type="pct"/>
            <w:shd w:val="clear" w:color="auto" w:fill="auto"/>
            <w:noWrap/>
            <w:vAlign w:val="bottom"/>
            <w:hideMark/>
          </w:tcPr>
          <w:p w14:paraId="3D81367A" w14:textId="62783F04"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-0.144</w:t>
            </w:r>
          </w:p>
        </w:tc>
        <w:tc>
          <w:tcPr>
            <w:tcW w:w="586" w:type="pct"/>
            <w:shd w:val="clear" w:color="auto" w:fill="auto"/>
            <w:noWrap/>
            <w:vAlign w:val="bottom"/>
            <w:hideMark/>
          </w:tcPr>
          <w:p w14:paraId="2113BB97" w14:textId="09B3A1FC"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-0.165*</w:t>
            </w:r>
          </w:p>
        </w:tc>
        <w:tc>
          <w:tcPr>
            <w:tcW w:w="586" w:type="pct"/>
            <w:shd w:val="clear" w:color="auto" w:fill="auto"/>
            <w:noWrap/>
            <w:vAlign w:val="bottom"/>
            <w:hideMark/>
          </w:tcPr>
          <w:p w14:paraId="0D105E75" w14:textId="56D08662"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-0.142</w:t>
            </w:r>
          </w:p>
        </w:tc>
        <w:tc>
          <w:tcPr>
            <w:tcW w:w="484" w:type="pct"/>
            <w:vAlign w:val="bottom"/>
          </w:tcPr>
          <w:p w14:paraId="480476BC" w14:textId="2201B161"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-0.15</w:t>
            </w:r>
          </w:p>
        </w:tc>
      </w:tr>
      <w:tr w:rsidR="00071F85" w:rsidRPr="000E6A87" w14:paraId="253C247D" w14:textId="77777777" w:rsidTr="0034479B">
        <w:tc>
          <w:tcPr>
            <w:tcW w:w="805" w:type="pct"/>
            <w:shd w:val="clear" w:color="auto" w:fill="auto"/>
            <w:noWrap/>
            <w:vAlign w:val="center"/>
            <w:hideMark/>
          </w:tcPr>
          <w:p w14:paraId="71115DA9"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Issue Relative Size</w:t>
            </w:r>
          </w:p>
        </w:tc>
        <w:tc>
          <w:tcPr>
            <w:tcW w:w="779" w:type="pct"/>
            <w:shd w:val="clear" w:color="auto" w:fill="auto"/>
            <w:noWrap/>
            <w:vAlign w:val="bottom"/>
            <w:hideMark/>
          </w:tcPr>
          <w:p w14:paraId="424305D2" w14:textId="77777777" w:rsidR="00071F85" w:rsidRPr="00225AE3" w:rsidRDefault="00071F85" w:rsidP="00071F85">
            <w:pPr>
              <w:widowControl/>
              <w:tabs>
                <w:tab w:val="decimal" w:pos="556"/>
              </w:tabs>
              <w:autoSpaceDE/>
              <w:autoSpaceDN/>
              <w:ind w:left="312"/>
              <w:rPr>
                <w:rFonts w:asciiTheme="majorBidi" w:hAnsiTheme="majorBidi" w:cstheme="majorBidi"/>
                <w:color w:val="000000"/>
                <w:sz w:val="20"/>
                <w:szCs w:val="20"/>
                <w14:ligatures w14:val="none"/>
              </w:rPr>
            </w:pPr>
          </w:p>
        </w:tc>
        <w:tc>
          <w:tcPr>
            <w:tcW w:w="586" w:type="pct"/>
            <w:shd w:val="clear" w:color="auto" w:fill="auto"/>
            <w:noWrap/>
            <w:vAlign w:val="bottom"/>
            <w:hideMark/>
          </w:tcPr>
          <w:p w14:paraId="204312A5" w14:textId="033AA908"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0.317</w:t>
            </w:r>
          </w:p>
        </w:tc>
        <w:tc>
          <w:tcPr>
            <w:tcW w:w="586" w:type="pct"/>
            <w:shd w:val="clear" w:color="auto" w:fill="auto"/>
            <w:noWrap/>
            <w:vAlign w:val="bottom"/>
            <w:hideMark/>
          </w:tcPr>
          <w:p w14:paraId="482F171D" w14:textId="6FC92D22"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0.329*</w:t>
            </w:r>
          </w:p>
        </w:tc>
        <w:tc>
          <w:tcPr>
            <w:tcW w:w="586" w:type="pct"/>
            <w:shd w:val="clear" w:color="auto" w:fill="auto"/>
            <w:noWrap/>
            <w:vAlign w:val="bottom"/>
            <w:hideMark/>
          </w:tcPr>
          <w:p w14:paraId="51967ED6" w14:textId="7CABFAC3"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0.322*</w:t>
            </w:r>
          </w:p>
        </w:tc>
        <w:tc>
          <w:tcPr>
            <w:tcW w:w="586" w:type="pct"/>
            <w:shd w:val="clear" w:color="auto" w:fill="auto"/>
            <w:noWrap/>
            <w:vAlign w:val="bottom"/>
            <w:hideMark/>
          </w:tcPr>
          <w:p w14:paraId="158CC6A4" w14:textId="1F464D3B"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0.349*</w:t>
            </w:r>
          </w:p>
        </w:tc>
        <w:tc>
          <w:tcPr>
            <w:tcW w:w="586" w:type="pct"/>
            <w:shd w:val="clear" w:color="auto" w:fill="auto"/>
            <w:noWrap/>
            <w:vAlign w:val="bottom"/>
            <w:hideMark/>
          </w:tcPr>
          <w:p w14:paraId="54AD2E76" w14:textId="0D64C97E"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0.327*</w:t>
            </w:r>
          </w:p>
        </w:tc>
        <w:tc>
          <w:tcPr>
            <w:tcW w:w="484" w:type="pct"/>
            <w:vAlign w:val="bottom"/>
          </w:tcPr>
          <w:p w14:paraId="12DC3724" w14:textId="0831A691"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0.318</w:t>
            </w:r>
          </w:p>
        </w:tc>
      </w:tr>
      <w:tr w:rsidR="00071F85" w:rsidRPr="000E6A87" w14:paraId="4FB4B474" w14:textId="77777777" w:rsidTr="0034479B">
        <w:tc>
          <w:tcPr>
            <w:tcW w:w="805" w:type="pct"/>
            <w:shd w:val="clear" w:color="auto" w:fill="auto"/>
            <w:noWrap/>
            <w:vAlign w:val="bottom"/>
            <w:hideMark/>
          </w:tcPr>
          <w:p w14:paraId="0F50A309"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Milles Ratio</w:t>
            </w:r>
          </w:p>
        </w:tc>
        <w:tc>
          <w:tcPr>
            <w:tcW w:w="779" w:type="pct"/>
            <w:shd w:val="clear" w:color="auto" w:fill="auto"/>
            <w:noWrap/>
            <w:vAlign w:val="bottom"/>
            <w:hideMark/>
          </w:tcPr>
          <w:p w14:paraId="238B38A8" w14:textId="77777777" w:rsidR="00071F85" w:rsidRPr="00225AE3" w:rsidRDefault="00071F85" w:rsidP="00071F85">
            <w:pPr>
              <w:widowControl/>
              <w:tabs>
                <w:tab w:val="decimal" w:pos="556"/>
              </w:tabs>
              <w:autoSpaceDE/>
              <w:autoSpaceDN/>
              <w:jc w:val="center"/>
              <w:rPr>
                <w:rFonts w:asciiTheme="majorBidi" w:hAnsiTheme="majorBidi" w:cstheme="majorBidi"/>
                <w:color w:val="000000"/>
                <w:sz w:val="20"/>
                <w:szCs w:val="20"/>
                <w14:ligatures w14:val="none"/>
              </w:rPr>
            </w:pPr>
          </w:p>
        </w:tc>
        <w:tc>
          <w:tcPr>
            <w:tcW w:w="586" w:type="pct"/>
            <w:shd w:val="clear" w:color="auto" w:fill="auto"/>
            <w:noWrap/>
            <w:vAlign w:val="bottom"/>
            <w:hideMark/>
          </w:tcPr>
          <w:p w14:paraId="2F095B33" w14:textId="01780C9B" w:rsidR="00071F85" w:rsidRPr="00225AE3" w:rsidRDefault="00071F85" w:rsidP="00071F85">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5.883***</w:t>
            </w:r>
          </w:p>
        </w:tc>
        <w:tc>
          <w:tcPr>
            <w:tcW w:w="586" w:type="pct"/>
            <w:shd w:val="clear" w:color="auto" w:fill="auto"/>
            <w:noWrap/>
            <w:vAlign w:val="bottom"/>
            <w:hideMark/>
          </w:tcPr>
          <w:p w14:paraId="14FC8906" w14:textId="07EDFC6C" w:rsidR="00071F85" w:rsidRPr="00225AE3" w:rsidRDefault="00071F85" w:rsidP="00071F85">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4.842***</w:t>
            </w:r>
          </w:p>
        </w:tc>
        <w:tc>
          <w:tcPr>
            <w:tcW w:w="586" w:type="pct"/>
            <w:shd w:val="clear" w:color="auto" w:fill="auto"/>
            <w:noWrap/>
            <w:vAlign w:val="bottom"/>
            <w:hideMark/>
          </w:tcPr>
          <w:p w14:paraId="37216852" w14:textId="2E611611" w:rsidR="00071F85" w:rsidRPr="00225AE3" w:rsidRDefault="00071F85" w:rsidP="00071F85">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5.723***</w:t>
            </w:r>
          </w:p>
        </w:tc>
        <w:tc>
          <w:tcPr>
            <w:tcW w:w="586" w:type="pct"/>
            <w:shd w:val="clear" w:color="auto" w:fill="auto"/>
            <w:noWrap/>
            <w:vAlign w:val="bottom"/>
            <w:hideMark/>
          </w:tcPr>
          <w:p w14:paraId="17ABF406" w14:textId="3978882E" w:rsidR="00071F85" w:rsidRPr="00225AE3" w:rsidRDefault="00071F85" w:rsidP="00071F85">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6.048***</w:t>
            </w:r>
          </w:p>
        </w:tc>
        <w:tc>
          <w:tcPr>
            <w:tcW w:w="586" w:type="pct"/>
            <w:shd w:val="clear" w:color="auto" w:fill="auto"/>
            <w:noWrap/>
            <w:vAlign w:val="bottom"/>
            <w:hideMark/>
          </w:tcPr>
          <w:p w14:paraId="3ABD42AD" w14:textId="70B8617B" w:rsidR="00071F85" w:rsidRPr="00225AE3" w:rsidRDefault="00071F85" w:rsidP="00071F85">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5.846***</w:t>
            </w:r>
          </w:p>
        </w:tc>
        <w:tc>
          <w:tcPr>
            <w:tcW w:w="484" w:type="pct"/>
            <w:vAlign w:val="bottom"/>
          </w:tcPr>
          <w:p w14:paraId="09B3BF0B" w14:textId="1FA53156" w:rsidR="00071F85" w:rsidRPr="00225AE3" w:rsidRDefault="00071F85" w:rsidP="00071F85">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5.357***</w:t>
            </w:r>
          </w:p>
        </w:tc>
      </w:tr>
      <w:tr w:rsidR="00071F85" w:rsidRPr="000E6A87" w14:paraId="2DE790AC" w14:textId="77777777" w:rsidTr="0034479B">
        <w:tc>
          <w:tcPr>
            <w:tcW w:w="805" w:type="pct"/>
            <w:shd w:val="clear" w:color="auto" w:fill="auto"/>
            <w:noWrap/>
            <w:vAlign w:val="bottom"/>
            <w:hideMark/>
          </w:tcPr>
          <w:p w14:paraId="627BAD77" w14:textId="77777777" w:rsidR="00071F85" w:rsidRPr="004709F5" w:rsidRDefault="00071F85" w:rsidP="00071F85">
            <w:pPr>
              <w:widowControl/>
              <w:autoSpaceDE/>
              <w:autoSpaceDN/>
              <w:rPr>
                <w:rFonts w:asciiTheme="majorBidi" w:hAnsiTheme="majorBidi" w:cstheme="majorBidi"/>
                <w:color w:val="000000"/>
                <w14:ligatures w14:val="none"/>
              </w:rPr>
            </w:pPr>
            <w:r>
              <w:rPr>
                <w:color w:val="000000"/>
              </w:rPr>
              <w:t>Industry Effect</w:t>
            </w:r>
          </w:p>
        </w:tc>
        <w:tc>
          <w:tcPr>
            <w:tcW w:w="779" w:type="pct"/>
            <w:shd w:val="clear" w:color="auto" w:fill="auto"/>
            <w:noWrap/>
            <w:vAlign w:val="bottom"/>
            <w:hideMark/>
          </w:tcPr>
          <w:p w14:paraId="3DBA9A94" w14:textId="77777777" w:rsidR="00071F85" w:rsidRPr="00225AE3" w:rsidRDefault="00071F85" w:rsidP="00071F85">
            <w:pPr>
              <w:widowControl/>
              <w:tabs>
                <w:tab w:val="decimal" w:pos="556"/>
              </w:tabs>
              <w:autoSpaceDE/>
              <w:autoSpaceDN/>
              <w:jc w:val="center"/>
              <w:rPr>
                <w:rFonts w:asciiTheme="majorBidi" w:hAnsiTheme="majorBidi" w:cstheme="majorBidi"/>
                <w:b/>
                <w:bCs/>
                <w:color w:val="000000"/>
                <w:sz w:val="20"/>
                <w:szCs w:val="20"/>
                <w14:ligatures w14:val="none"/>
              </w:rPr>
            </w:pPr>
          </w:p>
        </w:tc>
        <w:tc>
          <w:tcPr>
            <w:tcW w:w="586" w:type="pct"/>
            <w:shd w:val="clear" w:color="auto" w:fill="auto"/>
            <w:noWrap/>
            <w:vAlign w:val="bottom"/>
            <w:hideMark/>
          </w:tcPr>
          <w:p w14:paraId="3AC8EC45" w14:textId="1C4D9EE1" w:rsidR="00071F85" w:rsidRPr="00225AE3" w:rsidRDefault="00071F85" w:rsidP="00071F85">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586" w:type="pct"/>
            <w:shd w:val="clear" w:color="auto" w:fill="auto"/>
            <w:noWrap/>
            <w:vAlign w:val="bottom"/>
            <w:hideMark/>
          </w:tcPr>
          <w:p w14:paraId="491CD800" w14:textId="4BE8C8EC" w:rsidR="00071F85" w:rsidRPr="00225AE3" w:rsidRDefault="00071F85" w:rsidP="00071F85">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586" w:type="pct"/>
            <w:shd w:val="clear" w:color="auto" w:fill="auto"/>
            <w:noWrap/>
            <w:vAlign w:val="bottom"/>
            <w:hideMark/>
          </w:tcPr>
          <w:p w14:paraId="72975608" w14:textId="515A9AC8" w:rsidR="00071F85" w:rsidRPr="00225AE3" w:rsidRDefault="00071F85" w:rsidP="00071F85">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586" w:type="pct"/>
            <w:shd w:val="clear" w:color="auto" w:fill="auto"/>
            <w:noWrap/>
            <w:vAlign w:val="bottom"/>
            <w:hideMark/>
          </w:tcPr>
          <w:p w14:paraId="32CC6F89" w14:textId="7E30937F" w:rsidR="00071F85" w:rsidRPr="00225AE3" w:rsidRDefault="00071F85" w:rsidP="00071F85">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586" w:type="pct"/>
            <w:shd w:val="clear" w:color="auto" w:fill="auto"/>
            <w:noWrap/>
            <w:vAlign w:val="bottom"/>
            <w:hideMark/>
          </w:tcPr>
          <w:p w14:paraId="67DFB3B5" w14:textId="52F3813C" w:rsidR="00071F85" w:rsidRPr="00225AE3" w:rsidRDefault="00071F85" w:rsidP="00071F85">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484" w:type="pct"/>
            <w:vAlign w:val="bottom"/>
          </w:tcPr>
          <w:p w14:paraId="0BFE17E6" w14:textId="55940C96" w:rsidR="00071F85" w:rsidRPr="00225AE3" w:rsidRDefault="00071F85" w:rsidP="00071F85">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r>
      <w:tr w:rsidR="00071F85" w:rsidRPr="000E6A87" w14:paraId="0402F22B" w14:textId="77777777" w:rsidTr="0034479B">
        <w:tc>
          <w:tcPr>
            <w:tcW w:w="805" w:type="pct"/>
            <w:tcBorders>
              <w:bottom w:val="single" w:sz="4" w:space="0" w:color="auto"/>
            </w:tcBorders>
            <w:shd w:val="clear" w:color="auto" w:fill="auto"/>
            <w:noWrap/>
            <w:vAlign w:val="bottom"/>
          </w:tcPr>
          <w:p w14:paraId="27A5E037" w14:textId="77777777" w:rsidR="00071F85" w:rsidRPr="004709F5" w:rsidRDefault="00071F85" w:rsidP="00071F85">
            <w:pPr>
              <w:widowControl/>
              <w:autoSpaceDE/>
              <w:autoSpaceDN/>
              <w:rPr>
                <w:rFonts w:asciiTheme="majorBidi" w:hAnsiTheme="majorBidi" w:cstheme="majorBidi"/>
                <w:b/>
                <w:bCs/>
                <w:color w:val="000000"/>
                <w14:ligatures w14:val="none"/>
              </w:rPr>
            </w:pPr>
            <w:r>
              <w:rPr>
                <w:color w:val="000000"/>
              </w:rPr>
              <w:t>Year Effect</w:t>
            </w:r>
          </w:p>
        </w:tc>
        <w:tc>
          <w:tcPr>
            <w:tcW w:w="779" w:type="pct"/>
            <w:tcBorders>
              <w:bottom w:val="single" w:sz="4" w:space="0" w:color="auto"/>
            </w:tcBorders>
            <w:shd w:val="clear" w:color="auto" w:fill="auto"/>
            <w:noWrap/>
            <w:vAlign w:val="bottom"/>
          </w:tcPr>
          <w:p w14:paraId="21976DA2" w14:textId="77777777" w:rsidR="00071F85" w:rsidRPr="0005636E" w:rsidRDefault="00071F85" w:rsidP="00071F85">
            <w:pPr>
              <w:widowControl/>
              <w:tabs>
                <w:tab w:val="decimal" w:pos="556"/>
              </w:tabs>
              <w:autoSpaceDE/>
              <w:autoSpaceDN/>
              <w:rPr>
                <w:rFonts w:asciiTheme="majorBidi" w:hAnsiTheme="majorBidi" w:cstheme="majorBidi"/>
                <w:color w:val="000000"/>
                <w:sz w:val="20"/>
                <w:szCs w:val="20"/>
              </w:rPr>
            </w:pPr>
          </w:p>
        </w:tc>
        <w:tc>
          <w:tcPr>
            <w:tcW w:w="586" w:type="pct"/>
            <w:tcBorders>
              <w:bottom w:val="single" w:sz="4" w:space="0" w:color="auto"/>
            </w:tcBorders>
            <w:shd w:val="clear" w:color="auto" w:fill="auto"/>
            <w:noWrap/>
            <w:vAlign w:val="bottom"/>
          </w:tcPr>
          <w:p w14:paraId="4955968D" w14:textId="27C29B94"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586" w:type="pct"/>
            <w:tcBorders>
              <w:bottom w:val="single" w:sz="4" w:space="0" w:color="auto"/>
            </w:tcBorders>
            <w:shd w:val="clear" w:color="auto" w:fill="auto"/>
            <w:noWrap/>
            <w:vAlign w:val="bottom"/>
          </w:tcPr>
          <w:p w14:paraId="737D69A0" w14:textId="305C49ED"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586" w:type="pct"/>
            <w:tcBorders>
              <w:bottom w:val="single" w:sz="4" w:space="0" w:color="auto"/>
            </w:tcBorders>
            <w:shd w:val="clear" w:color="auto" w:fill="auto"/>
            <w:noWrap/>
            <w:vAlign w:val="bottom"/>
          </w:tcPr>
          <w:p w14:paraId="2D4A0720" w14:textId="382D826A"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586" w:type="pct"/>
            <w:tcBorders>
              <w:bottom w:val="single" w:sz="4" w:space="0" w:color="auto"/>
            </w:tcBorders>
            <w:shd w:val="clear" w:color="auto" w:fill="auto"/>
            <w:noWrap/>
            <w:vAlign w:val="bottom"/>
          </w:tcPr>
          <w:p w14:paraId="0C0034F7" w14:textId="6C4CB8CF"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586" w:type="pct"/>
            <w:tcBorders>
              <w:bottom w:val="single" w:sz="4" w:space="0" w:color="auto"/>
            </w:tcBorders>
            <w:shd w:val="clear" w:color="auto" w:fill="auto"/>
            <w:noWrap/>
            <w:vAlign w:val="bottom"/>
          </w:tcPr>
          <w:p w14:paraId="7EFC8F24" w14:textId="771A8818"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484" w:type="pct"/>
            <w:tcBorders>
              <w:bottom w:val="single" w:sz="4" w:space="0" w:color="auto"/>
            </w:tcBorders>
            <w:vAlign w:val="bottom"/>
          </w:tcPr>
          <w:p w14:paraId="3A0C46BF" w14:textId="75DC73E5" w:rsidR="00071F85" w:rsidRPr="0005636E" w:rsidRDefault="00071F85" w:rsidP="00071F85">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r>
      <w:tr w:rsidR="00071F85" w:rsidRPr="000E6A87" w14:paraId="0DDFDA62" w14:textId="77777777" w:rsidTr="0034479B">
        <w:tc>
          <w:tcPr>
            <w:tcW w:w="805" w:type="pct"/>
            <w:tcBorders>
              <w:bottom w:val="single" w:sz="4" w:space="0" w:color="auto"/>
            </w:tcBorders>
            <w:shd w:val="clear" w:color="auto" w:fill="auto"/>
            <w:noWrap/>
            <w:vAlign w:val="bottom"/>
          </w:tcPr>
          <w:p w14:paraId="00111ADD" w14:textId="77777777" w:rsidR="00071F85" w:rsidRPr="004709F5" w:rsidRDefault="00071F85" w:rsidP="00071F85">
            <w:pPr>
              <w:widowControl/>
              <w:autoSpaceDE/>
              <w:autoSpaceDN/>
              <w:rPr>
                <w:rFonts w:asciiTheme="majorBidi" w:hAnsiTheme="majorBidi" w:cstheme="majorBidi"/>
                <w:color w:val="000000"/>
              </w:rPr>
            </w:pPr>
            <w:r>
              <w:rPr>
                <w:color w:val="000000"/>
              </w:rPr>
              <w:t xml:space="preserve"> Pseudo R2</w:t>
            </w:r>
          </w:p>
        </w:tc>
        <w:tc>
          <w:tcPr>
            <w:tcW w:w="779" w:type="pct"/>
            <w:tcBorders>
              <w:bottom w:val="single" w:sz="4" w:space="0" w:color="auto"/>
            </w:tcBorders>
            <w:shd w:val="clear" w:color="auto" w:fill="auto"/>
            <w:noWrap/>
            <w:vAlign w:val="bottom"/>
          </w:tcPr>
          <w:p w14:paraId="2B404F74" w14:textId="16A66B2B" w:rsidR="00071F85" w:rsidRDefault="00071F85" w:rsidP="00071F85">
            <w:pPr>
              <w:widowControl/>
              <w:tabs>
                <w:tab w:val="decimal" w:pos="556"/>
              </w:tabs>
              <w:autoSpaceDE/>
              <w:autoSpaceDN/>
              <w:rPr>
                <w:rFonts w:ascii="Aptos Narrow" w:hAnsi="Aptos Narrow"/>
                <w:color w:val="000000"/>
              </w:rPr>
            </w:pPr>
            <w:r>
              <w:rPr>
                <w:rFonts w:ascii="Aptos Narrow" w:hAnsi="Aptos Narrow"/>
                <w:color w:val="000000"/>
              </w:rPr>
              <w:t>0.309</w:t>
            </w:r>
          </w:p>
        </w:tc>
        <w:tc>
          <w:tcPr>
            <w:tcW w:w="586" w:type="pct"/>
            <w:tcBorders>
              <w:bottom w:val="single" w:sz="4" w:space="0" w:color="auto"/>
            </w:tcBorders>
            <w:shd w:val="clear" w:color="auto" w:fill="auto"/>
            <w:noWrap/>
            <w:vAlign w:val="bottom"/>
          </w:tcPr>
          <w:p w14:paraId="5D34CD56" w14:textId="4215314C" w:rsidR="00071F85" w:rsidRDefault="00071F85" w:rsidP="00071F85">
            <w:pPr>
              <w:widowControl/>
              <w:tabs>
                <w:tab w:val="decimal" w:pos="375"/>
              </w:tabs>
              <w:autoSpaceDE/>
              <w:autoSpaceDN/>
              <w:ind w:left="-75"/>
              <w:rPr>
                <w:rFonts w:ascii="Aptos Narrow" w:hAnsi="Aptos Narrow"/>
                <w:color w:val="000000"/>
              </w:rPr>
            </w:pPr>
            <w:r>
              <w:rPr>
                <w:rFonts w:ascii="Aptos Narrow" w:hAnsi="Aptos Narrow"/>
                <w:color w:val="000000"/>
              </w:rPr>
              <w:t>0.226</w:t>
            </w:r>
          </w:p>
        </w:tc>
        <w:tc>
          <w:tcPr>
            <w:tcW w:w="586" w:type="pct"/>
            <w:tcBorders>
              <w:bottom w:val="single" w:sz="4" w:space="0" w:color="auto"/>
            </w:tcBorders>
            <w:shd w:val="clear" w:color="auto" w:fill="auto"/>
            <w:noWrap/>
            <w:vAlign w:val="bottom"/>
          </w:tcPr>
          <w:p w14:paraId="4DB64C8F" w14:textId="2523746C" w:rsidR="00071F85" w:rsidRDefault="00071F85" w:rsidP="00071F85">
            <w:pPr>
              <w:widowControl/>
              <w:tabs>
                <w:tab w:val="decimal" w:pos="375"/>
              </w:tabs>
              <w:autoSpaceDE/>
              <w:autoSpaceDN/>
              <w:ind w:left="-75"/>
              <w:rPr>
                <w:rFonts w:ascii="Aptos Narrow" w:hAnsi="Aptos Narrow"/>
                <w:color w:val="000000"/>
              </w:rPr>
            </w:pPr>
            <w:r>
              <w:rPr>
                <w:rFonts w:ascii="Aptos Narrow" w:hAnsi="Aptos Narrow"/>
                <w:color w:val="000000"/>
              </w:rPr>
              <w:t>0.227</w:t>
            </w:r>
          </w:p>
        </w:tc>
        <w:tc>
          <w:tcPr>
            <w:tcW w:w="586" w:type="pct"/>
            <w:tcBorders>
              <w:bottom w:val="single" w:sz="4" w:space="0" w:color="auto"/>
            </w:tcBorders>
            <w:shd w:val="clear" w:color="auto" w:fill="auto"/>
            <w:noWrap/>
            <w:vAlign w:val="bottom"/>
          </w:tcPr>
          <w:p w14:paraId="65A3EE80" w14:textId="22C2C23A" w:rsidR="00071F85" w:rsidRDefault="00071F85" w:rsidP="00071F85">
            <w:pPr>
              <w:widowControl/>
              <w:tabs>
                <w:tab w:val="decimal" w:pos="375"/>
              </w:tabs>
              <w:autoSpaceDE/>
              <w:autoSpaceDN/>
              <w:ind w:left="-75"/>
              <w:rPr>
                <w:rFonts w:ascii="Aptos Narrow" w:hAnsi="Aptos Narrow"/>
                <w:color w:val="000000"/>
              </w:rPr>
            </w:pPr>
            <w:r>
              <w:rPr>
                <w:rFonts w:ascii="Aptos Narrow" w:hAnsi="Aptos Narrow"/>
                <w:color w:val="000000"/>
              </w:rPr>
              <w:t>0.235</w:t>
            </w:r>
          </w:p>
        </w:tc>
        <w:tc>
          <w:tcPr>
            <w:tcW w:w="586" w:type="pct"/>
            <w:tcBorders>
              <w:bottom w:val="single" w:sz="4" w:space="0" w:color="auto"/>
            </w:tcBorders>
            <w:shd w:val="clear" w:color="auto" w:fill="auto"/>
            <w:noWrap/>
            <w:vAlign w:val="bottom"/>
          </w:tcPr>
          <w:p w14:paraId="5D019B8F" w14:textId="7375B4EA" w:rsidR="00071F85" w:rsidRDefault="00071F85" w:rsidP="00071F85">
            <w:pPr>
              <w:widowControl/>
              <w:tabs>
                <w:tab w:val="decimal" w:pos="375"/>
              </w:tabs>
              <w:autoSpaceDE/>
              <w:autoSpaceDN/>
              <w:ind w:left="-75"/>
              <w:rPr>
                <w:rFonts w:ascii="Aptos Narrow" w:hAnsi="Aptos Narrow"/>
                <w:color w:val="000000"/>
              </w:rPr>
            </w:pPr>
            <w:r>
              <w:rPr>
                <w:rFonts w:ascii="Aptos Narrow" w:hAnsi="Aptos Narrow"/>
                <w:color w:val="000000"/>
              </w:rPr>
              <w:t>0.241</w:t>
            </w:r>
          </w:p>
        </w:tc>
        <w:tc>
          <w:tcPr>
            <w:tcW w:w="586" w:type="pct"/>
            <w:tcBorders>
              <w:bottom w:val="single" w:sz="4" w:space="0" w:color="auto"/>
            </w:tcBorders>
            <w:shd w:val="clear" w:color="auto" w:fill="auto"/>
            <w:noWrap/>
            <w:vAlign w:val="bottom"/>
          </w:tcPr>
          <w:p w14:paraId="21B9AED8" w14:textId="73DBB2EA" w:rsidR="00071F85" w:rsidRDefault="00071F85" w:rsidP="00071F85">
            <w:pPr>
              <w:widowControl/>
              <w:tabs>
                <w:tab w:val="decimal" w:pos="375"/>
              </w:tabs>
              <w:autoSpaceDE/>
              <w:autoSpaceDN/>
              <w:ind w:left="-75"/>
              <w:rPr>
                <w:rFonts w:ascii="Aptos Narrow" w:hAnsi="Aptos Narrow"/>
                <w:color w:val="000000"/>
              </w:rPr>
            </w:pPr>
            <w:r>
              <w:rPr>
                <w:rFonts w:ascii="Aptos Narrow" w:hAnsi="Aptos Narrow"/>
                <w:color w:val="000000"/>
              </w:rPr>
              <w:t>0.236</w:t>
            </w:r>
          </w:p>
        </w:tc>
        <w:tc>
          <w:tcPr>
            <w:tcW w:w="484" w:type="pct"/>
            <w:tcBorders>
              <w:bottom w:val="single" w:sz="4" w:space="0" w:color="auto"/>
            </w:tcBorders>
            <w:vAlign w:val="bottom"/>
          </w:tcPr>
          <w:p w14:paraId="6B754B8A" w14:textId="15D47A1F" w:rsidR="00071F85" w:rsidRDefault="00071F85" w:rsidP="00071F85">
            <w:pPr>
              <w:widowControl/>
              <w:tabs>
                <w:tab w:val="decimal" w:pos="375"/>
              </w:tabs>
              <w:autoSpaceDE/>
              <w:autoSpaceDN/>
              <w:ind w:left="-75"/>
              <w:rPr>
                <w:rFonts w:ascii="Aptos Narrow" w:hAnsi="Aptos Narrow"/>
                <w:color w:val="000000"/>
              </w:rPr>
            </w:pPr>
            <w:r>
              <w:rPr>
                <w:rFonts w:ascii="Aptos Narrow" w:hAnsi="Aptos Narrow"/>
                <w:color w:val="000000"/>
              </w:rPr>
              <w:t>0.224</w:t>
            </w:r>
          </w:p>
        </w:tc>
      </w:tr>
      <w:tr w:rsidR="00C93C64" w:rsidRPr="000E6A87" w14:paraId="065F4F31" w14:textId="77777777" w:rsidTr="0034479B">
        <w:tc>
          <w:tcPr>
            <w:tcW w:w="805" w:type="pct"/>
            <w:tcBorders>
              <w:bottom w:val="single" w:sz="4" w:space="0" w:color="auto"/>
            </w:tcBorders>
            <w:shd w:val="clear" w:color="auto" w:fill="auto"/>
            <w:noWrap/>
            <w:vAlign w:val="bottom"/>
          </w:tcPr>
          <w:p w14:paraId="5FC98EC8" w14:textId="77777777" w:rsidR="00C93C64" w:rsidRPr="004709F5" w:rsidRDefault="00C93C64" w:rsidP="0034479B">
            <w:pPr>
              <w:widowControl/>
              <w:autoSpaceDE/>
              <w:autoSpaceDN/>
              <w:rPr>
                <w:rFonts w:asciiTheme="majorBidi" w:hAnsiTheme="majorBidi" w:cstheme="majorBidi"/>
                <w:color w:val="000000"/>
              </w:rPr>
            </w:pPr>
            <w:r>
              <w:rPr>
                <w:color w:val="000000"/>
              </w:rPr>
              <w:t>N</w:t>
            </w:r>
          </w:p>
        </w:tc>
        <w:tc>
          <w:tcPr>
            <w:tcW w:w="779" w:type="pct"/>
            <w:tcBorders>
              <w:bottom w:val="single" w:sz="4" w:space="0" w:color="auto"/>
            </w:tcBorders>
            <w:shd w:val="clear" w:color="auto" w:fill="auto"/>
            <w:noWrap/>
            <w:vAlign w:val="bottom"/>
          </w:tcPr>
          <w:p w14:paraId="52777CCD" w14:textId="77777777" w:rsidR="00C93C64" w:rsidRDefault="00C93C64" w:rsidP="0034479B">
            <w:pPr>
              <w:widowControl/>
              <w:tabs>
                <w:tab w:val="decimal" w:pos="556"/>
              </w:tabs>
              <w:autoSpaceDE/>
              <w:autoSpaceDN/>
              <w:rPr>
                <w:rFonts w:ascii="Aptos Narrow" w:hAnsi="Aptos Narrow"/>
                <w:color w:val="000000"/>
              </w:rPr>
            </w:pPr>
            <w:r>
              <w:rPr>
                <w:rFonts w:ascii="Aptos Narrow" w:hAnsi="Aptos Narrow"/>
                <w:color w:val="000000"/>
              </w:rPr>
              <w:t xml:space="preserve">          8,453 </w:t>
            </w:r>
          </w:p>
        </w:tc>
        <w:tc>
          <w:tcPr>
            <w:tcW w:w="586" w:type="pct"/>
            <w:tcBorders>
              <w:bottom w:val="single" w:sz="4" w:space="0" w:color="auto"/>
            </w:tcBorders>
            <w:shd w:val="clear" w:color="auto" w:fill="auto"/>
            <w:noWrap/>
            <w:vAlign w:val="bottom"/>
          </w:tcPr>
          <w:p w14:paraId="4CFB9EC3" w14:textId="77777777" w:rsidR="00C93C64" w:rsidRDefault="00C93C64"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586" w:type="pct"/>
            <w:tcBorders>
              <w:bottom w:val="single" w:sz="4" w:space="0" w:color="auto"/>
            </w:tcBorders>
            <w:shd w:val="clear" w:color="auto" w:fill="auto"/>
            <w:noWrap/>
            <w:vAlign w:val="bottom"/>
          </w:tcPr>
          <w:p w14:paraId="6C0673F5" w14:textId="77777777" w:rsidR="00C93C64" w:rsidRDefault="00C93C64"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586" w:type="pct"/>
            <w:tcBorders>
              <w:bottom w:val="single" w:sz="4" w:space="0" w:color="auto"/>
            </w:tcBorders>
            <w:shd w:val="clear" w:color="auto" w:fill="auto"/>
            <w:noWrap/>
            <w:vAlign w:val="bottom"/>
          </w:tcPr>
          <w:p w14:paraId="4E9B6508" w14:textId="77777777" w:rsidR="00C93C64" w:rsidRDefault="00C93C64"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586" w:type="pct"/>
            <w:tcBorders>
              <w:bottom w:val="single" w:sz="4" w:space="0" w:color="auto"/>
            </w:tcBorders>
            <w:shd w:val="clear" w:color="auto" w:fill="auto"/>
            <w:noWrap/>
            <w:vAlign w:val="bottom"/>
          </w:tcPr>
          <w:p w14:paraId="3A7FB474" w14:textId="77777777" w:rsidR="00C93C64" w:rsidRDefault="00C93C64"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586" w:type="pct"/>
            <w:tcBorders>
              <w:bottom w:val="single" w:sz="4" w:space="0" w:color="auto"/>
            </w:tcBorders>
            <w:shd w:val="clear" w:color="auto" w:fill="auto"/>
            <w:noWrap/>
            <w:vAlign w:val="bottom"/>
          </w:tcPr>
          <w:p w14:paraId="503AAA18" w14:textId="77777777" w:rsidR="00C93C64" w:rsidRDefault="00C93C64"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484" w:type="pct"/>
            <w:tcBorders>
              <w:bottom w:val="single" w:sz="4" w:space="0" w:color="auto"/>
            </w:tcBorders>
            <w:vAlign w:val="bottom"/>
          </w:tcPr>
          <w:p w14:paraId="759C4065" w14:textId="77777777" w:rsidR="00C93C64" w:rsidRDefault="00C93C64"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r>
    </w:tbl>
    <w:p w14:paraId="116DBEE1" w14:textId="77777777" w:rsidR="00C93C64" w:rsidRDefault="00C93C64" w:rsidP="00C93C64">
      <w:pPr>
        <w:jc w:val="both"/>
        <w:rPr>
          <w:rFonts w:asciiTheme="majorBidi" w:hAnsiTheme="majorBidi" w:cstheme="majorBidi"/>
        </w:rPr>
      </w:pPr>
      <w:r w:rsidRPr="00B67CC0">
        <w:rPr>
          <w:rFonts w:asciiTheme="majorBidi" w:hAnsiTheme="majorBidi" w:cstheme="majorBidi"/>
        </w:rPr>
        <w:t>*, **  indicate significance at 5%, and 1% level, respectively</w:t>
      </w:r>
    </w:p>
    <w:p w14:paraId="3A407A6E" w14:textId="77777777" w:rsidR="00C93C64" w:rsidRDefault="00C93C64" w:rsidP="00C93C64">
      <w:pPr>
        <w:widowControl/>
        <w:autoSpaceDE/>
        <w:autoSpaceDN/>
        <w:jc w:val="both"/>
        <w:rPr>
          <w:rFonts w:asciiTheme="majorBidi" w:hAnsiTheme="majorBidi" w:cstheme="majorBidi"/>
        </w:rPr>
      </w:pPr>
      <w:r w:rsidRPr="00B67CC0">
        <w:rPr>
          <w:rFonts w:asciiTheme="majorBidi" w:hAnsiTheme="majorBidi" w:cstheme="majorBidi"/>
          <w14:ligatures w14:val="none"/>
        </w:rPr>
        <w:t xml:space="preserve">*Each ESG measure has a polarity indicating whether a higher value is positive or negative. </w:t>
      </w:r>
      <w:r w:rsidRPr="00B67CC0">
        <w:rPr>
          <w:rFonts w:asciiTheme="majorBidi" w:hAnsiTheme="majorBidi" w:cstheme="majorBidi"/>
        </w:rPr>
        <w:t>Companies with no controversies get a score of 100.</w:t>
      </w:r>
    </w:p>
    <w:p w14:paraId="56A5ACBF" w14:textId="77777777" w:rsidR="00C93C64" w:rsidRDefault="00C93C64" w:rsidP="00C93C64">
      <w:pPr>
        <w:widowControl/>
        <w:autoSpaceDE/>
        <w:autoSpaceDN/>
        <w:jc w:val="both"/>
        <w:rPr>
          <w:rFonts w:asciiTheme="majorBidi" w:hAnsiTheme="majorBidi" w:cstheme="majorBidi"/>
        </w:rPr>
      </w:pPr>
    </w:p>
    <w:p w14:paraId="1AE31779" w14:textId="77777777" w:rsidR="00241AF6" w:rsidRDefault="00241AF6" w:rsidP="00241AF6">
      <w:pPr>
        <w:widowControl/>
        <w:autoSpaceDE/>
        <w:autoSpaceDN/>
        <w:jc w:val="both"/>
        <w:rPr>
          <w:rFonts w:asciiTheme="majorBidi" w:hAnsiTheme="majorBidi" w:cstheme="majorBidi"/>
        </w:rPr>
      </w:pPr>
    </w:p>
    <w:p w14:paraId="3E9F80EC" w14:textId="77777777" w:rsidR="001E1C42" w:rsidRPr="00B67CC0" w:rsidRDefault="001E1C42" w:rsidP="003D4292">
      <w:pPr>
        <w:widowControl/>
        <w:autoSpaceDE/>
        <w:autoSpaceDN/>
        <w:jc w:val="both"/>
        <w:rPr>
          <w:rFonts w:asciiTheme="majorBidi" w:hAnsiTheme="majorBidi" w:cstheme="majorBidi"/>
        </w:rPr>
      </w:pPr>
    </w:p>
    <w:p w14:paraId="2B3FD1A9" w14:textId="77777777" w:rsidR="003D4292" w:rsidRDefault="003D4292" w:rsidP="003D4292">
      <w:pPr>
        <w:adjustRightInd w:val="0"/>
        <w:spacing w:line="480" w:lineRule="auto"/>
        <w:jc w:val="both"/>
        <w:rPr>
          <w:rFonts w:asciiTheme="majorBidi" w:hAnsiTheme="majorBidi" w:cstheme="majorBidi"/>
        </w:rPr>
      </w:pPr>
    </w:p>
    <w:p w14:paraId="3B30986D" w14:textId="02D06E1A" w:rsidR="00F64831" w:rsidRDefault="00F64831" w:rsidP="00F64831">
      <w:pPr>
        <w:widowControl/>
        <w:autoSpaceDE/>
        <w:autoSpaceDN/>
        <w:jc w:val="center"/>
        <w:rPr>
          <w:rFonts w:asciiTheme="majorBidi" w:hAnsiTheme="majorBidi" w:cstheme="majorBidi"/>
          <w:b/>
          <w:bCs/>
          <w14:ligatures w14:val="none"/>
        </w:rPr>
      </w:pPr>
      <w:r w:rsidRPr="00B67CC0">
        <w:rPr>
          <w:rFonts w:asciiTheme="majorBidi" w:hAnsiTheme="majorBidi" w:cstheme="majorBidi"/>
          <w:b/>
          <w:bCs/>
          <w14:ligatures w14:val="none"/>
        </w:rPr>
        <w:lastRenderedPageBreak/>
        <w:t xml:space="preserve">Table </w:t>
      </w:r>
      <w:r w:rsidR="00EA313E">
        <w:rPr>
          <w:rFonts w:asciiTheme="majorBidi" w:hAnsiTheme="majorBidi" w:cstheme="majorBidi"/>
          <w:b/>
          <w:bCs/>
          <w14:ligatures w14:val="none"/>
        </w:rPr>
        <w:t>6</w:t>
      </w:r>
      <w:r w:rsidRPr="00B67CC0">
        <w:rPr>
          <w:rFonts w:asciiTheme="majorBidi" w:hAnsiTheme="majorBidi" w:cstheme="majorBidi"/>
          <w:b/>
          <w:bCs/>
          <w14:ligatures w14:val="none"/>
        </w:rPr>
        <w:t>: Market Reaction</w:t>
      </w:r>
      <w:r>
        <w:rPr>
          <w:rFonts w:asciiTheme="majorBidi" w:hAnsiTheme="majorBidi" w:cstheme="majorBidi"/>
          <w:b/>
          <w:bCs/>
          <w14:ligatures w14:val="none"/>
        </w:rPr>
        <w:t xml:space="preserve"> Bond Issue Announcement</w:t>
      </w:r>
      <w:r w:rsidRPr="00B67CC0">
        <w:rPr>
          <w:rFonts w:asciiTheme="majorBidi" w:hAnsiTheme="majorBidi" w:cstheme="majorBidi"/>
          <w:b/>
          <w:bCs/>
          <w14:ligatures w14:val="none"/>
        </w:rPr>
        <w:t xml:space="preserve"> and ESG Performance</w:t>
      </w:r>
    </w:p>
    <w:p w14:paraId="10DBA4F7" w14:textId="77777777" w:rsidR="000C5A41" w:rsidRDefault="000C5A41" w:rsidP="000F50D8">
      <w:pPr>
        <w:widowControl/>
        <w:autoSpaceDE/>
        <w:autoSpaceDN/>
        <w:rPr>
          <w:rFonts w:asciiTheme="majorBidi" w:hAnsiTheme="majorBidi" w:cstheme="majorBidi"/>
          <w:b/>
          <w:bCs/>
          <w14:ligatures w14:val="none"/>
        </w:rPr>
      </w:pPr>
    </w:p>
    <w:p w14:paraId="3E356F8C" w14:textId="5CBD564F" w:rsidR="000F50D8" w:rsidRDefault="000F50D8" w:rsidP="000F50D8">
      <w:pPr>
        <w:widowControl/>
        <w:autoSpaceDE/>
        <w:autoSpaceDN/>
        <w:rPr>
          <w:rFonts w:asciiTheme="majorBidi" w:hAnsiTheme="majorBidi" w:cstheme="majorBidi"/>
          <w:b/>
          <w:bCs/>
          <w14:ligatures w14:val="none"/>
        </w:rPr>
      </w:pPr>
      <w:r w:rsidRPr="005C4EB4">
        <w:rPr>
          <w:rFonts w:asciiTheme="majorBidi" w:hAnsiTheme="majorBidi" w:cstheme="majorBidi"/>
          <w:b/>
          <w:bCs/>
          <w14:ligatures w14:val="none"/>
        </w:rPr>
        <w:t>Heckman selection</w:t>
      </w:r>
    </w:p>
    <w:tbl>
      <w:tblPr>
        <w:tblW w:w="5000" w:type="pct"/>
        <w:tblBorders>
          <w:insideH w:val="single" w:sz="4" w:space="0" w:color="auto"/>
        </w:tblBorders>
        <w:tblLook w:val="04A0" w:firstRow="1" w:lastRow="0" w:firstColumn="1" w:lastColumn="0" w:noHBand="0" w:noVBand="1"/>
      </w:tblPr>
      <w:tblGrid>
        <w:gridCol w:w="2087"/>
        <w:gridCol w:w="2019"/>
        <w:gridCol w:w="1520"/>
        <w:gridCol w:w="1520"/>
        <w:gridCol w:w="1520"/>
        <w:gridCol w:w="1520"/>
        <w:gridCol w:w="1520"/>
        <w:gridCol w:w="1254"/>
      </w:tblGrid>
      <w:tr w:rsidR="000F50D8" w:rsidRPr="000E6A87" w14:paraId="62A68F58" w14:textId="77777777" w:rsidTr="0034479B">
        <w:tc>
          <w:tcPr>
            <w:tcW w:w="805" w:type="pct"/>
            <w:tcBorders>
              <w:top w:val="double" w:sz="4" w:space="0" w:color="auto"/>
              <w:bottom w:val="single" w:sz="4" w:space="0" w:color="auto"/>
            </w:tcBorders>
            <w:shd w:val="clear" w:color="auto" w:fill="auto"/>
            <w:noWrap/>
            <w:vAlign w:val="bottom"/>
            <w:hideMark/>
          </w:tcPr>
          <w:p w14:paraId="23051E56" w14:textId="77777777" w:rsidR="000F50D8" w:rsidRPr="000E6A87" w:rsidRDefault="000F50D8" w:rsidP="0034479B">
            <w:pPr>
              <w:widowControl/>
              <w:autoSpaceDE/>
              <w:autoSpaceDN/>
              <w:rPr>
                <w:rFonts w:asciiTheme="majorBidi" w:hAnsiTheme="majorBidi" w:cstheme="majorBidi"/>
                <w:color w:val="000000"/>
                <w14:ligatures w14:val="none"/>
              </w:rPr>
            </w:pPr>
          </w:p>
        </w:tc>
        <w:tc>
          <w:tcPr>
            <w:tcW w:w="779" w:type="pct"/>
            <w:tcBorders>
              <w:top w:val="double" w:sz="4" w:space="0" w:color="auto"/>
              <w:bottom w:val="single" w:sz="4" w:space="0" w:color="auto"/>
            </w:tcBorders>
            <w:shd w:val="clear" w:color="auto" w:fill="auto"/>
            <w:noWrap/>
            <w:vAlign w:val="bottom"/>
            <w:hideMark/>
          </w:tcPr>
          <w:p w14:paraId="16697FDE"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7442BE">
              <w:t>Heckman selection</w:t>
            </w:r>
          </w:p>
        </w:tc>
        <w:tc>
          <w:tcPr>
            <w:tcW w:w="586" w:type="pct"/>
            <w:tcBorders>
              <w:top w:val="double" w:sz="4" w:space="0" w:color="auto"/>
              <w:bottom w:val="single" w:sz="4" w:space="0" w:color="auto"/>
            </w:tcBorders>
            <w:shd w:val="clear" w:color="auto" w:fill="auto"/>
            <w:noWrap/>
            <w:hideMark/>
          </w:tcPr>
          <w:p w14:paraId="685B2B15"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586" w:type="pct"/>
            <w:tcBorders>
              <w:top w:val="double" w:sz="4" w:space="0" w:color="auto"/>
              <w:bottom w:val="single" w:sz="4" w:space="0" w:color="auto"/>
            </w:tcBorders>
            <w:shd w:val="clear" w:color="auto" w:fill="auto"/>
            <w:noWrap/>
            <w:hideMark/>
          </w:tcPr>
          <w:p w14:paraId="0C90B0C1"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586" w:type="pct"/>
            <w:tcBorders>
              <w:top w:val="double" w:sz="4" w:space="0" w:color="auto"/>
              <w:bottom w:val="single" w:sz="4" w:space="0" w:color="auto"/>
            </w:tcBorders>
            <w:shd w:val="clear" w:color="auto" w:fill="auto"/>
            <w:noWrap/>
            <w:hideMark/>
          </w:tcPr>
          <w:p w14:paraId="25D993B6"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586" w:type="pct"/>
            <w:tcBorders>
              <w:top w:val="double" w:sz="4" w:space="0" w:color="auto"/>
              <w:bottom w:val="single" w:sz="4" w:space="0" w:color="auto"/>
            </w:tcBorders>
            <w:shd w:val="clear" w:color="auto" w:fill="auto"/>
            <w:noWrap/>
            <w:hideMark/>
          </w:tcPr>
          <w:p w14:paraId="27047E6B"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586" w:type="pct"/>
            <w:tcBorders>
              <w:top w:val="double" w:sz="4" w:space="0" w:color="auto"/>
              <w:bottom w:val="single" w:sz="4" w:space="0" w:color="auto"/>
            </w:tcBorders>
            <w:shd w:val="clear" w:color="auto" w:fill="auto"/>
            <w:noWrap/>
            <w:hideMark/>
          </w:tcPr>
          <w:p w14:paraId="7272856B"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c>
          <w:tcPr>
            <w:tcW w:w="484" w:type="pct"/>
            <w:tcBorders>
              <w:top w:val="double" w:sz="4" w:space="0" w:color="auto"/>
              <w:bottom w:val="single" w:sz="4" w:space="0" w:color="auto"/>
            </w:tcBorders>
          </w:tcPr>
          <w:p w14:paraId="2E753CB4"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7442BE">
              <w:rPr>
                <w:rFonts w:asciiTheme="majorBidi" w:hAnsiTheme="majorBidi" w:cstheme="majorBidi"/>
                <w:color w:val="000000"/>
                <w14:ligatures w14:val="none"/>
              </w:rPr>
              <w:t>Coef.</w:t>
            </w:r>
          </w:p>
        </w:tc>
      </w:tr>
      <w:tr w:rsidR="000F50D8" w:rsidRPr="000E6A87" w14:paraId="7CC8C7B2" w14:textId="77777777" w:rsidTr="0034479B">
        <w:tc>
          <w:tcPr>
            <w:tcW w:w="805" w:type="pct"/>
            <w:tcBorders>
              <w:top w:val="single" w:sz="4" w:space="0" w:color="auto"/>
              <w:bottom w:val="double" w:sz="4" w:space="0" w:color="auto"/>
            </w:tcBorders>
            <w:shd w:val="clear" w:color="auto" w:fill="auto"/>
            <w:noWrap/>
            <w:vAlign w:val="bottom"/>
          </w:tcPr>
          <w:p w14:paraId="2AD60786" w14:textId="77777777" w:rsidR="000F50D8" w:rsidRPr="000E6A87" w:rsidRDefault="000F50D8" w:rsidP="0034479B">
            <w:pPr>
              <w:widowControl/>
              <w:autoSpaceDE/>
              <w:autoSpaceDN/>
              <w:rPr>
                <w:rFonts w:asciiTheme="majorBidi" w:hAnsiTheme="majorBidi" w:cstheme="majorBidi"/>
                <w:color w:val="000000"/>
                <w14:ligatures w14:val="none"/>
              </w:rPr>
            </w:pPr>
            <w:r w:rsidRPr="000E6A87">
              <w:rPr>
                <w:rFonts w:asciiTheme="majorBidi" w:hAnsiTheme="majorBidi" w:cstheme="majorBidi"/>
                <w:color w:val="000000"/>
                <w14:ligatures w14:val="none"/>
              </w:rPr>
              <w:t>Variables</w:t>
            </w:r>
          </w:p>
        </w:tc>
        <w:tc>
          <w:tcPr>
            <w:tcW w:w="779" w:type="pct"/>
            <w:tcBorders>
              <w:top w:val="single" w:sz="4" w:space="0" w:color="auto"/>
              <w:bottom w:val="double" w:sz="4" w:space="0" w:color="auto"/>
            </w:tcBorders>
            <w:shd w:val="clear" w:color="auto" w:fill="auto"/>
            <w:noWrap/>
            <w:vAlign w:val="bottom"/>
          </w:tcPr>
          <w:p w14:paraId="6FEB7060" w14:textId="77777777" w:rsidR="000F50D8" w:rsidRPr="007442BE" w:rsidRDefault="000F50D8" w:rsidP="0034479B">
            <w:pPr>
              <w:widowControl/>
              <w:autoSpaceDE/>
              <w:autoSpaceDN/>
              <w:ind w:left="222"/>
            </w:pPr>
            <w:r w:rsidRPr="007442BE">
              <w:t>First-stage</w:t>
            </w:r>
          </w:p>
        </w:tc>
        <w:tc>
          <w:tcPr>
            <w:tcW w:w="586" w:type="pct"/>
            <w:tcBorders>
              <w:top w:val="single" w:sz="4" w:space="0" w:color="auto"/>
              <w:bottom w:val="double" w:sz="4" w:space="0" w:color="auto"/>
            </w:tcBorders>
            <w:shd w:val="clear" w:color="auto" w:fill="auto"/>
            <w:noWrap/>
          </w:tcPr>
          <w:p w14:paraId="364304C4"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7442BE">
              <w:t>Second</w:t>
            </w:r>
            <w:r>
              <w:t xml:space="preserve"> </w:t>
            </w:r>
            <w:r w:rsidRPr="007442BE">
              <w:t xml:space="preserve">stage </w:t>
            </w:r>
          </w:p>
        </w:tc>
        <w:tc>
          <w:tcPr>
            <w:tcW w:w="586" w:type="pct"/>
            <w:tcBorders>
              <w:top w:val="single" w:sz="4" w:space="0" w:color="auto"/>
              <w:bottom w:val="double" w:sz="4" w:space="0" w:color="auto"/>
            </w:tcBorders>
            <w:shd w:val="clear" w:color="auto" w:fill="auto"/>
            <w:noWrap/>
          </w:tcPr>
          <w:p w14:paraId="441AB0A4"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147240">
              <w:t>Second stage</w:t>
            </w:r>
          </w:p>
        </w:tc>
        <w:tc>
          <w:tcPr>
            <w:tcW w:w="586" w:type="pct"/>
            <w:tcBorders>
              <w:top w:val="single" w:sz="4" w:space="0" w:color="auto"/>
              <w:bottom w:val="double" w:sz="4" w:space="0" w:color="auto"/>
            </w:tcBorders>
            <w:shd w:val="clear" w:color="auto" w:fill="auto"/>
            <w:noWrap/>
          </w:tcPr>
          <w:p w14:paraId="4EF74A76"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147240">
              <w:t>Second stage</w:t>
            </w:r>
          </w:p>
        </w:tc>
        <w:tc>
          <w:tcPr>
            <w:tcW w:w="586" w:type="pct"/>
            <w:tcBorders>
              <w:top w:val="single" w:sz="4" w:space="0" w:color="auto"/>
              <w:bottom w:val="double" w:sz="4" w:space="0" w:color="auto"/>
            </w:tcBorders>
            <w:shd w:val="clear" w:color="auto" w:fill="auto"/>
            <w:noWrap/>
          </w:tcPr>
          <w:p w14:paraId="7FF06442"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147240">
              <w:t>Second stage</w:t>
            </w:r>
          </w:p>
        </w:tc>
        <w:tc>
          <w:tcPr>
            <w:tcW w:w="586" w:type="pct"/>
            <w:tcBorders>
              <w:top w:val="single" w:sz="4" w:space="0" w:color="auto"/>
              <w:bottom w:val="double" w:sz="4" w:space="0" w:color="auto"/>
            </w:tcBorders>
            <w:shd w:val="clear" w:color="auto" w:fill="auto"/>
            <w:noWrap/>
          </w:tcPr>
          <w:p w14:paraId="44433E8C"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147240">
              <w:t>Second stage</w:t>
            </w:r>
          </w:p>
        </w:tc>
        <w:tc>
          <w:tcPr>
            <w:tcW w:w="484" w:type="pct"/>
            <w:tcBorders>
              <w:top w:val="single" w:sz="4" w:space="0" w:color="auto"/>
              <w:bottom w:val="double" w:sz="4" w:space="0" w:color="auto"/>
            </w:tcBorders>
          </w:tcPr>
          <w:p w14:paraId="62C36363" w14:textId="77777777" w:rsidR="000F50D8" w:rsidRPr="007442BE" w:rsidRDefault="000F50D8" w:rsidP="0034479B">
            <w:pPr>
              <w:widowControl/>
              <w:autoSpaceDE/>
              <w:autoSpaceDN/>
              <w:ind w:left="222"/>
              <w:rPr>
                <w:rFonts w:asciiTheme="majorBidi" w:hAnsiTheme="majorBidi" w:cstheme="majorBidi"/>
                <w:color w:val="000000"/>
                <w14:ligatures w14:val="none"/>
              </w:rPr>
            </w:pPr>
            <w:r w:rsidRPr="00147240">
              <w:t>Second stage</w:t>
            </w:r>
          </w:p>
        </w:tc>
      </w:tr>
      <w:tr w:rsidR="002E3114" w:rsidRPr="000E6A87" w14:paraId="2B7768E4" w14:textId="77777777" w:rsidTr="0034479B">
        <w:tc>
          <w:tcPr>
            <w:tcW w:w="805" w:type="pct"/>
            <w:tcBorders>
              <w:top w:val="double" w:sz="4" w:space="0" w:color="auto"/>
            </w:tcBorders>
            <w:shd w:val="clear" w:color="auto" w:fill="auto"/>
            <w:noWrap/>
            <w:vAlign w:val="center"/>
            <w:hideMark/>
          </w:tcPr>
          <w:p w14:paraId="3DA1E5BC"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Issuer Size</w:t>
            </w:r>
          </w:p>
        </w:tc>
        <w:tc>
          <w:tcPr>
            <w:tcW w:w="779" w:type="pct"/>
            <w:tcBorders>
              <w:top w:val="double" w:sz="4" w:space="0" w:color="auto"/>
            </w:tcBorders>
            <w:shd w:val="clear" w:color="auto" w:fill="auto"/>
            <w:noWrap/>
            <w:vAlign w:val="bottom"/>
            <w:hideMark/>
          </w:tcPr>
          <w:p w14:paraId="06F730B2" w14:textId="293E53B2" w:rsidR="002E3114" w:rsidRPr="0005636E" w:rsidRDefault="002E3114" w:rsidP="002E3114">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0.435***</w:t>
            </w:r>
          </w:p>
        </w:tc>
        <w:tc>
          <w:tcPr>
            <w:tcW w:w="586" w:type="pct"/>
            <w:tcBorders>
              <w:top w:val="double" w:sz="4" w:space="0" w:color="auto"/>
            </w:tcBorders>
            <w:shd w:val="clear" w:color="auto" w:fill="auto"/>
            <w:noWrap/>
            <w:vAlign w:val="bottom"/>
            <w:hideMark/>
          </w:tcPr>
          <w:p w14:paraId="5413D682" w14:textId="2531E698"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0.737***</w:t>
            </w:r>
          </w:p>
        </w:tc>
        <w:tc>
          <w:tcPr>
            <w:tcW w:w="586" w:type="pct"/>
            <w:tcBorders>
              <w:top w:val="double" w:sz="4" w:space="0" w:color="auto"/>
            </w:tcBorders>
            <w:shd w:val="clear" w:color="auto" w:fill="auto"/>
            <w:noWrap/>
            <w:vAlign w:val="bottom"/>
            <w:hideMark/>
          </w:tcPr>
          <w:p w14:paraId="18191BC3" w14:textId="629AC9E2"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0.686***</w:t>
            </w:r>
          </w:p>
        </w:tc>
        <w:tc>
          <w:tcPr>
            <w:tcW w:w="586" w:type="pct"/>
            <w:tcBorders>
              <w:top w:val="double" w:sz="4" w:space="0" w:color="auto"/>
            </w:tcBorders>
            <w:shd w:val="clear" w:color="auto" w:fill="auto"/>
            <w:noWrap/>
            <w:vAlign w:val="bottom"/>
            <w:hideMark/>
          </w:tcPr>
          <w:p w14:paraId="164AB5D9" w14:textId="154B63B0"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0.582***</w:t>
            </w:r>
          </w:p>
        </w:tc>
        <w:tc>
          <w:tcPr>
            <w:tcW w:w="586" w:type="pct"/>
            <w:tcBorders>
              <w:top w:val="double" w:sz="4" w:space="0" w:color="auto"/>
            </w:tcBorders>
            <w:shd w:val="clear" w:color="auto" w:fill="auto"/>
            <w:noWrap/>
            <w:vAlign w:val="bottom"/>
            <w:hideMark/>
          </w:tcPr>
          <w:p w14:paraId="4B2F0D8A" w14:textId="04EC393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0.607***</w:t>
            </w:r>
          </w:p>
        </w:tc>
        <w:tc>
          <w:tcPr>
            <w:tcW w:w="586" w:type="pct"/>
            <w:tcBorders>
              <w:top w:val="double" w:sz="4" w:space="0" w:color="auto"/>
            </w:tcBorders>
            <w:shd w:val="clear" w:color="auto" w:fill="auto"/>
            <w:noWrap/>
            <w:vAlign w:val="bottom"/>
            <w:hideMark/>
          </w:tcPr>
          <w:p w14:paraId="67273A73" w14:textId="57A06D1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0.663***</w:t>
            </w:r>
          </w:p>
        </w:tc>
        <w:tc>
          <w:tcPr>
            <w:tcW w:w="484" w:type="pct"/>
            <w:tcBorders>
              <w:top w:val="double" w:sz="4" w:space="0" w:color="auto"/>
            </w:tcBorders>
            <w:vAlign w:val="bottom"/>
          </w:tcPr>
          <w:p w14:paraId="66FA4D61" w14:textId="6C1DFC2E"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0.642***</w:t>
            </w:r>
          </w:p>
        </w:tc>
      </w:tr>
      <w:tr w:rsidR="002E3114" w:rsidRPr="000E6A87" w14:paraId="424DBEC1" w14:textId="77777777" w:rsidTr="0034479B">
        <w:tc>
          <w:tcPr>
            <w:tcW w:w="805" w:type="pct"/>
            <w:shd w:val="clear" w:color="auto" w:fill="auto"/>
            <w:noWrap/>
            <w:vAlign w:val="center"/>
            <w:hideMark/>
          </w:tcPr>
          <w:p w14:paraId="1EFFC6D3"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Leverage</w:t>
            </w:r>
          </w:p>
        </w:tc>
        <w:tc>
          <w:tcPr>
            <w:tcW w:w="779" w:type="pct"/>
            <w:shd w:val="clear" w:color="auto" w:fill="auto"/>
            <w:noWrap/>
            <w:vAlign w:val="bottom"/>
            <w:hideMark/>
          </w:tcPr>
          <w:p w14:paraId="557B57E1" w14:textId="6ACB0CF3" w:rsidR="002E3114" w:rsidRPr="0005636E" w:rsidRDefault="002E3114" w:rsidP="002E3114">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-0.005***</w:t>
            </w:r>
          </w:p>
        </w:tc>
        <w:tc>
          <w:tcPr>
            <w:tcW w:w="586" w:type="pct"/>
            <w:shd w:val="clear" w:color="auto" w:fill="auto"/>
            <w:noWrap/>
            <w:vAlign w:val="bottom"/>
            <w:hideMark/>
          </w:tcPr>
          <w:p w14:paraId="77E73AA9" w14:textId="0445AED2"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-0.018***</w:t>
            </w:r>
          </w:p>
        </w:tc>
        <w:tc>
          <w:tcPr>
            <w:tcW w:w="586" w:type="pct"/>
            <w:shd w:val="clear" w:color="auto" w:fill="auto"/>
            <w:noWrap/>
            <w:vAlign w:val="bottom"/>
            <w:hideMark/>
          </w:tcPr>
          <w:p w14:paraId="7CC2631F" w14:textId="267B911C"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-0.017***</w:t>
            </w:r>
          </w:p>
        </w:tc>
        <w:tc>
          <w:tcPr>
            <w:tcW w:w="586" w:type="pct"/>
            <w:shd w:val="clear" w:color="auto" w:fill="auto"/>
            <w:noWrap/>
            <w:vAlign w:val="bottom"/>
            <w:hideMark/>
          </w:tcPr>
          <w:p w14:paraId="486194AC" w14:textId="16387DC0"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-0.018***</w:t>
            </w:r>
          </w:p>
        </w:tc>
        <w:tc>
          <w:tcPr>
            <w:tcW w:w="586" w:type="pct"/>
            <w:shd w:val="clear" w:color="auto" w:fill="auto"/>
            <w:noWrap/>
            <w:vAlign w:val="bottom"/>
            <w:hideMark/>
          </w:tcPr>
          <w:p w14:paraId="6291606D" w14:textId="09A029AE"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-0.018***</w:t>
            </w:r>
          </w:p>
        </w:tc>
        <w:tc>
          <w:tcPr>
            <w:tcW w:w="586" w:type="pct"/>
            <w:shd w:val="clear" w:color="auto" w:fill="auto"/>
            <w:noWrap/>
            <w:vAlign w:val="bottom"/>
            <w:hideMark/>
          </w:tcPr>
          <w:p w14:paraId="7E2D1C8C" w14:textId="1C19A275"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-0.018***</w:t>
            </w:r>
          </w:p>
        </w:tc>
        <w:tc>
          <w:tcPr>
            <w:tcW w:w="484" w:type="pct"/>
            <w:vAlign w:val="bottom"/>
          </w:tcPr>
          <w:p w14:paraId="23AD16BB" w14:textId="5155DA0E"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-0.016***</w:t>
            </w:r>
          </w:p>
        </w:tc>
      </w:tr>
      <w:tr w:rsidR="002E3114" w:rsidRPr="000E6A87" w14:paraId="3E5E8189" w14:textId="77777777" w:rsidTr="0034479B">
        <w:tc>
          <w:tcPr>
            <w:tcW w:w="805" w:type="pct"/>
            <w:shd w:val="clear" w:color="auto" w:fill="auto"/>
            <w:noWrap/>
            <w:vAlign w:val="bottom"/>
            <w:hideMark/>
          </w:tcPr>
          <w:p w14:paraId="3B9BBC25" w14:textId="77777777" w:rsidR="002E3114" w:rsidRPr="004709F5" w:rsidRDefault="002E3114" w:rsidP="002E3114">
            <w:pPr>
              <w:widowControl/>
              <w:autoSpaceDE/>
              <w:autoSpaceDN/>
              <w:rPr>
                <w:rFonts w:asciiTheme="majorBidi" w:hAnsiTheme="majorBidi" w:cstheme="majorBidi"/>
                <w:color w:val="000000"/>
                <w14:ligatures w14:val="none"/>
              </w:rPr>
            </w:pPr>
            <w:proofErr w:type="spellStart"/>
            <w:r>
              <w:rPr>
                <w:color w:val="000000"/>
              </w:rPr>
              <w:t>AltimaZ</w:t>
            </w:r>
            <w:proofErr w:type="spellEnd"/>
          </w:p>
        </w:tc>
        <w:tc>
          <w:tcPr>
            <w:tcW w:w="779" w:type="pct"/>
            <w:shd w:val="clear" w:color="auto" w:fill="auto"/>
            <w:noWrap/>
            <w:vAlign w:val="bottom"/>
            <w:hideMark/>
          </w:tcPr>
          <w:p w14:paraId="608D9C99" w14:textId="0D9F15DB" w:rsidR="002E3114" w:rsidRPr="0005636E" w:rsidRDefault="002E3114" w:rsidP="002E3114">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0.013***</w:t>
            </w:r>
          </w:p>
        </w:tc>
        <w:tc>
          <w:tcPr>
            <w:tcW w:w="586" w:type="pct"/>
            <w:shd w:val="clear" w:color="auto" w:fill="auto"/>
            <w:noWrap/>
            <w:vAlign w:val="bottom"/>
            <w:hideMark/>
          </w:tcPr>
          <w:p w14:paraId="33BD8C86"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09C4BC96"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B837A0B"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DEDD0A2"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0769D27D"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01BCADA7"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r>
      <w:tr w:rsidR="002E3114" w:rsidRPr="000E6A87" w14:paraId="31395C70" w14:textId="77777777" w:rsidTr="0034479B">
        <w:tc>
          <w:tcPr>
            <w:tcW w:w="805" w:type="pct"/>
            <w:shd w:val="clear" w:color="auto" w:fill="auto"/>
            <w:noWrap/>
            <w:vAlign w:val="center"/>
            <w:hideMark/>
          </w:tcPr>
          <w:p w14:paraId="4A9C4282" w14:textId="77777777" w:rsidR="002E3114" w:rsidRPr="004709F5" w:rsidRDefault="002E3114" w:rsidP="002E3114">
            <w:pPr>
              <w:widowControl/>
              <w:autoSpaceDE/>
              <w:autoSpaceDN/>
              <w:rPr>
                <w:rFonts w:asciiTheme="majorBidi" w:hAnsiTheme="majorBidi" w:cstheme="majorBidi"/>
                <w:color w:val="000000"/>
                <w14:ligatures w14:val="none"/>
              </w:rPr>
            </w:pPr>
            <w:r>
              <w:t>Return on Assets</w:t>
            </w:r>
          </w:p>
        </w:tc>
        <w:tc>
          <w:tcPr>
            <w:tcW w:w="779" w:type="pct"/>
            <w:shd w:val="clear" w:color="auto" w:fill="auto"/>
            <w:noWrap/>
            <w:vAlign w:val="bottom"/>
            <w:hideMark/>
          </w:tcPr>
          <w:p w14:paraId="67B0489F" w14:textId="0E4D5B75" w:rsidR="002E3114" w:rsidRPr="0005636E" w:rsidRDefault="002E3114" w:rsidP="002E3114">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0.017***</w:t>
            </w:r>
          </w:p>
        </w:tc>
        <w:tc>
          <w:tcPr>
            <w:tcW w:w="586" w:type="pct"/>
            <w:shd w:val="clear" w:color="auto" w:fill="auto"/>
            <w:noWrap/>
            <w:vAlign w:val="bottom"/>
            <w:hideMark/>
          </w:tcPr>
          <w:p w14:paraId="70DEDBF8" w14:textId="48BA5E03"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30A99BA0" w14:textId="30B57002"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75C41D91" w14:textId="3B96CB2D"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7FAF38B6" w14:textId="22FD5E02"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001F93D5" w14:textId="6D0C325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567713A4" w14:textId="07F4159E"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r>
      <w:tr w:rsidR="002E3114" w:rsidRPr="000E6A87" w14:paraId="1D8A677A" w14:textId="77777777" w:rsidTr="0034479B">
        <w:tc>
          <w:tcPr>
            <w:tcW w:w="805" w:type="pct"/>
            <w:shd w:val="clear" w:color="auto" w:fill="auto"/>
            <w:noWrap/>
            <w:vAlign w:val="bottom"/>
            <w:hideMark/>
          </w:tcPr>
          <w:p w14:paraId="009BFF18"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Big4</w:t>
            </w:r>
          </w:p>
        </w:tc>
        <w:tc>
          <w:tcPr>
            <w:tcW w:w="779" w:type="pct"/>
            <w:shd w:val="clear" w:color="auto" w:fill="auto"/>
            <w:noWrap/>
            <w:vAlign w:val="bottom"/>
            <w:hideMark/>
          </w:tcPr>
          <w:p w14:paraId="7B95FD5A" w14:textId="78695B76" w:rsidR="002E3114" w:rsidRPr="0005636E" w:rsidRDefault="002E3114" w:rsidP="002E3114">
            <w:pPr>
              <w:widowControl/>
              <w:tabs>
                <w:tab w:val="decimal" w:pos="556"/>
              </w:tabs>
              <w:autoSpaceDE/>
              <w:autoSpaceDN/>
              <w:rPr>
                <w:rFonts w:asciiTheme="majorBidi" w:hAnsiTheme="majorBidi" w:cstheme="majorBidi"/>
                <w:color w:val="000000"/>
                <w:sz w:val="20"/>
                <w:szCs w:val="20"/>
              </w:rPr>
            </w:pPr>
            <w:r>
              <w:rPr>
                <w:rFonts w:ascii="Aptos Narrow" w:hAnsi="Aptos Narrow"/>
                <w:color w:val="000000"/>
              </w:rPr>
              <w:t>0.379***</w:t>
            </w:r>
          </w:p>
        </w:tc>
        <w:tc>
          <w:tcPr>
            <w:tcW w:w="586" w:type="pct"/>
            <w:shd w:val="clear" w:color="auto" w:fill="auto"/>
            <w:vAlign w:val="bottom"/>
          </w:tcPr>
          <w:p w14:paraId="44256A65" w14:textId="39B7DA10"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0.974***</w:t>
            </w:r>
          </w:p>
        </w:tc>
        <w:tc>
          <w:tcPr>
            <w:tcW w:w="586" w:type="pct"/>
            <w:shd w:val="clear" w:color="auto" w:fill="auto"/>
            <w:noWrap/>
            <w:vAlign w:val="bottom"/>
            <w:hideMark/>
          </w:tcPr>
          <w:p w14:paraId="6A6F7E14" w14:textId="67EE12F9"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0.968***</w:t>
            </w:r>
          </w:p>
        </w:tc>
        <w:tc>
          <w:tcPr>
            <w:tcW w:w="586" w:type="pct"/>
            <w:shd w:val="clear" w:color="auto" w:fill="auto"/>
            <w:noWrap/>
            <w:vAlign w:val="bottom"/>
            <w:hideMark/>
          </w:tcPr>
          <w:p w14:paraId="5244B9DA" w14:textId="3DFC68A8"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0.967***</w:t>
            </w:r>
          </w:p>
        </w:tc>
        <w:tc>
          <w:tcPr>
            <w:tcW w:w="586" w:type="pct"/>
            <w:shd w:val="clear" w:color="auto" w:fill="auto"/>
            <w:noWrap/>
            <w:vAlign w:val="bottom"/>
            <w:hideMark/>
          </w:tcPr>
          <w:p w14:paraId="319AD250" w14:textId="3687ED53"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0.971***</w:t>
            </w:r>
          </w:p>
        </w:tc>
        <w:tc>
          <w:tcPr>
            <w:tcW w:w="586" w:type="pct"/>
            <w:shd w:val="clear" w:color="auto" w:fill="auto"/>
            <w:noWrap/>
            <w:vAlign w:val="bottom"/>
            <w:hideMark/>
          </w:tcPr>
          <w:p w14:paraId="1B83130B" w14:textId="3296F430"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0.985***</w:t>
            </w:r>
          </w:p>
        </w:tc>
        <w:tc>
          <w:tcPr>
            <w:tcW w:w="484" w:type="pct"/>
            <w:vAlign w:val="bottom"/>
          </w:tcPr>
          <w:p w14:paraId="0E7E4785" w14:textId="1F0A66BB"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0.911***</w:t>
            </w:r>
          </w:p>
        </w:tc>
      </w:tr>
      <w:tr w:rsidR="002E3114" w:rsidRPr="000E6A87" w14:paraId="5151460B" w14:textId="77777777" w:rsidTr="0034479B">
        <w:tc>
          <w:tcPr>
            <w:tcW w:w="805" w:type="pct"/>
            <w:shd w:val="clear" w:color="auto" w:fill="auto"/>
            <w:noWrap/>
            <w:vAlign w:val="center"/>
            <w:hideMark/>
          </w:tcPr>
          <w:p w14:paraId="61B06299" w14:textId="77777777" w:rsidR="002E3114" w:rsidRPr="004709F5" w:rsidRDefault="002E3114" w:rsidP="002E3114">
            <w:pPr>
              <w:widowControl/>
              <w:autoSpaceDE/>
              <w:autoSpaceDN/>
              <w:ind w:right="-195"/>
              <w:rPr>
                <w:rFonts w:asciiTheme="majorBidi" w:hAnsiTheme="majorBidi" w:cstheme="majorBidi"/>
                <w:color w:val="000000"/>
                <w14:ligatures w14:val="none"/>
              </w:rPr>
            </w:pPr>
            <w:r>
              <w:rPr>
                <w:color w:val="000000"/>
              </w:rPr>
              <w:t>ESG Combined *</w:t>
            </w:r>
          </w:p>
        </w:tc>
        <w:tc>
          <w:tcPr>
            <w:tcW w:w="779" w:type="pct"/>
            <w:shd w:val="clear" w:color="auto" w:fill="auto"/>
            <w:noWrap/>
            <w:vAlign w:val="bottom"/>
            <w:hideMark/>
          </w:tcPr>
          <w:p w14:paraId="46C37906"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5406B52B" w14:textId="2B8DD08B"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0.019***</w:t>
            </w:r>
          </w:p>
        </w:tc>
        <w:tc>
          <w:tcPr>
            <w:tcW w:w="586" w:type="pct"/>
            <w:shd w:val="clear" w:color="auto" w:fill="auto"/>
            <w:noWrap/>
            <w:vAlign w:val="bottom"/>
            <w:hideMark/>
          </w:tcPr>
          <w:p w14:paraId="2061123B"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47053295"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2D724D1B"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1504C985"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73B3BC72"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r>
      <w:tr w:rsidR="002E3114" w:rsidRPr="000E6A87" w14:paraId="5781C5AB" w14:textId="77777777" w:rsidTr="0034479B">
        <w:tc>
          <w:tcPr>
            <w:tcW w:w="805" w:type="pct"/>
            <w:shd w:val="clear" w:color="auto" w:fill="auto"/>
            <w:noWrap/>
            <w:vAlign w:val="center"/>
            <w:hideMark/>
          </w:tcPr>
          <w:p w14:paraId="35F8EBBD"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 xml:space="preserve">  ESG Controversies </w:t>
            </w:r>
          </w:p>
        </w:tc>
        <w:tc>
          <w:tcPr>
            <w:tcW w:w="779" w:type="pct"/>
            <w:shd w:val="clear" w:color="auto" w:fill="auto"/>
            <w:noWrap/>
            <w:vAlign w:val="bottom"/>
            <w:hideMark/>
          </w:tcPr>
          <w:p w14:paraId="29788009"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0ED4B2F6"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10E24B1B" w14:textId="0E6012FE"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0.001</w:t>
            </w:r>
          </w:p>
        </w:tc>
        <w:tc>
          <w:tcPr>
            <w:tcW w:w="586" w:type="pct"/>
            <w:shd w:val="clear" w:color="auto" w:fill="auto"/>
            <w:vAlign w:val="bottom"/>
          </w:tcPr>
          <w:p w14:paraId="54680613"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35BDFABE"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4491DD1"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1409D01E"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r>
      <w:tr w:rsidR="002E3114" w:rsidRPr="000E6A87" w14:paraId="1FCA6279" w14:textId="77777777" w:rsidTr="0034479B">
        <w:tc>
          <w:tcPr>
            <w:tcW w:w="805" w:type="pct"/>
            <w:shd w:val="clear" w:color="auto" w:fill="auto"/>
            <w:noWrap/>
            <w:vAlign w:val="center"/>
            <w:hideMark/>
          </w:tcPr>
          <w:p w14:paraId="288928DC"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 xml:space="preserve">  ESG </w:t>
            </w:r>
          </w:p>
        </w:tc>
        <w:tc>
          <w:tcPr>
            <w:tcW w:w="779" w:type="pct"/>
            <w:shd w:val="clear" w:color="auto" w:fill="auto"/>
            <w:noWrap/>
            <w:vAlign w:val="bottom"/>
            <w:hideMark/>
          </w:tcPr>
          <w:p w14:paraId="30F13D70"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31CED066"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661DA34E"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1A0EE7C4" w14:textId="31A9C75F"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0.024***</w:t>
            </w:r>
          </w:p>
        </w:tc>
        <w:tc>
          <w:tcPr>
            <w:tcW w:w="586" w:type="pct"/>
            <w:shd w:val="clear" w:color="auto" w:fill="auto"/>
            <w:vAlign w:val="bottom"/>
          </w:tcPr>
          <w:p w14:paraId="48DE0A6B"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094277E7"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55FE81E7"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r>
      <w:tr w:rsidR="002E3114" w:rsidRPr="000E6A87" w14:paraId="61E9DE9D" w14:textId="77777777" w:rsidTr="0034479B">
        <w:tc>
          <w:tcPr>
            <w:tcW w:w="805" w:type="pct"/>
            <w:shd w:val="clear" w:color="auto" w:fill="auto"/>
            <w:noWrap/>
            <w:vAlign w:val="center"/>
            <w:hideMark/>
          </w:tcPr>
          <w:p w14:paraId="3230707C"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 xml:space="preserve">   - Environment Pillar </w:t>
            </w:r>
          </w:p>
        </w:tc>
        <w:tc>
          <w:tcPr>
            <w:tcW w:w="779" w:type="pct"/>
            <w:shd w:val="clear" w:color="auto" w:fill="auto"/>
            <w:noWrap/>
            <w:vAlign w:val="bottom"/>
            <w:hideMark/>
          </w:tcPr>
          <w:p w14:paraId="07580530"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56CBC87F"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62D7839B"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00E0B87D"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48124B75" w14:textId="47E95151"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0.014***</w:t>
            </w:r>
          </w:p>
        </w:tc>
        <w:tc>
          <w:tcPr>
            <w:tcW w:w="586" w:type="pct"/>
            <w:shd w:val="clear" w:color="auto" w:fill="auto"/>
            <w:noWrap/>
            <w:vAlign w:val="bottom"/>
            <w:hideMark/>
          </w:tcPr>
          <w:p w14:paraId="00E59C41"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03A812E7"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r>
      <w:tr w:rsidR="002E3114" w:rsidRPr="000E6A87" w14:paraId="29C47ADC" w14:textId="77777777" w:rsidTr="0034479B">
        <w:tc>
          <w:tcPr>
            <w:tcW w:w="805" w:type="pct"/>
            <w:shd w:val="clear" w:color="auto" w:fill="auto"/>
            <w:noWrap/>
            <w:vAlign w:val="center"/>
            <w:hideMark/>
          </w:tcPr>
          <w:p w14:paraId="640E294C" w14:textId="77777777" w:rsidR="002E3114" w:rsidRPr="004709F5" w:rsidRDefault="002E3114" w:rsidP="002E3114">
            <w:pPr>
              <w:widowControl/>
              <w:tabs>
                <w:tab w:val="decimal" w:pos="73"/>
              </w:tabs>
              <w:autoSpaceDE/>
              <w:autoSpaceDN/>
              <w:rPr>
                <w:rFonts w:asciiTheme="majorBidi" w:hAnsiTheme="majorBidi" w:cstheme="majorBidi"/>
                <w:color w:val="000000"/>
                <w14:ligatures w14:val="none"/>
              </w:rPr>
            </w:pPr>
            <w:r>
              <w:rPr>
                <w:color w:val="000000"/>
              </w:rPr>
              <w:t xml:space="preserve">   - Social Pillar </w:t>
            </w:r>
          </w:p>
        </w:tc>
        <w:tc>
          <w:tcPr>
            <w:tcW w:w="779" w:type="pct"/>
            <w:shd w:val="clear" w:color="auto" w:fill="auto"/>
            <w:noWrap/>
            <w:vAlign w:val="bottom"/>
            <w:hideMark/>
          </w:tcPr>
          <w:p w14:paraId="0E5337A8"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298AE2DA"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02D8F39"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7EDC693A"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68BDC902"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53D54424" w14:textId="4E4F0908"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0.009**</w:t>
            </w:r>
          </w:p>
        </w:tc>
        <w:tc>
          <w:tcPr>
            <w:tcW w:w="484" w:type="pct"/>
            <w:vAlign w:val="bottom"/>
          </w:tcPr>
          <w:p w14:paraId="37A400EE"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r>
      <w:tr w:rsidR="002E3114" w:rsidRPr="000E6A87" w14:paraId="27E212CE" w14:textId="77777777" w:rsidTr="0034479B">
        <w:tc>
          <w:tcPr>
            <w:tcW w:w="805" w:type="pct"/>
            <w:shd w:val="clear" w:color="auto" w:fill="auto"/>
            <w:noWrap/>
            <w:vAlign w:val="center"/>
            <w:hideMark/>
          </w:tcPr>
          <w:p w14:paraId="71AA1FF0"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 xml:space="preserve">  - Governance Pillar </w:t>
            </w:r>
          </w:p>
        </w:tc>
        <w:tc>
          <w:tcPr>
            <w:tcW w:w="779" w:type="pct"/>
            <w:shd w:val="clear" w:color="auto" w:fill="auto"/>
            <w:noWrap/>
            <w:vAlign w:val="bottom"/>
            <w:hideMark/>
          </w:tcPr>
          <w:p w14:paraId="2698281C"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36477FA2"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6FF82BF0"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1EBA77F9"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72994094"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586" w:type="pct"/>
            <w:shd w:val="clear" w:color="auto" w:fill="auto"/>
            <w:noWrap/>
            <w:vAlign w:val="bottom"/>
            <w:hideMark/>
          </w:tcPr>
          <w:p w14:paraId="7C4F65A6" w14:textId="777777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p>
        </w:tc>
        <w:tc>
          <w:tcPr>
            <w:tcW w:w="484" w:type="pct"/>
            <w:vAlign w:val="bottom"/>
          </w:tcPr>
          <w:p w14:paraId="0CFB8320" w14:textId="10EA27A2"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0.019***</w:t>
            </w:r>
          </w:p>
        </w:tc>
      </w:tr>
      <w:tr w:rsidR="002E3114" w:rsidRPr="000E6A87" w14:paraId="79BFD457" w14:textId="77777777" w:rsidTr="0034479B">
        <w:tc>
          <w:tcPr>
            <w:tcW w:w="805" w:type="pct"/>
            <w:shd w:val="clear" w:color="auto" w:fill="auto"/>
            <w:noWrap/>
            <w:vAlign w:val="center"/>
            <w:hideMark/>
          </w:tcPr>
          <w:p w14:paraId="26F83ACF"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Moody's Rating</w:t>
            </w:r>
          </w:p>
        </w:tc>
        <w:tc>
          <w:tcPr>
            <w:tcW w:w="779" w:type="pct"/>
            <w:shd w:val="clear" w:color="auto" w:fill="auto"/>
            <w:noWrap/>
            <w:vAlign w:val="bottom"/>
            <w:hideMark/>
          </w:tcPr>
          <w:p w14:paraId="1BF4E61A"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1D2C3130" w14:textId="01FF22EF"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-0.177</w:t>
            </w:r>
          </w:p>
        </w:tc>
        <w:tc>
          <w:tcPr>
            <w:tcW w:w="586" w:type="pct"/>
            <w:shd w:val="clear" w:color="auto" w:fill="auto"/>
            <w:noWrap/>
            <w:vAlign w:val="bottom"/>
            <w:hideMark/>
          </w:tcPr>
          <w:p w14:paraId="4367CBB0" w14:textId="33EBDD54"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-0.151</w:t>
            </w:r>
          </w:p>
        </w:tc>
        <w:tc>
          <w:tcPr>
            <w:tcW w:w="586" w:type="pct"/>
            <w:shd w:val="clear" w:color="auto" w:fill="auto"/>
            <w:noWrap/>
            <w:vAlign w:val="bottom"/>
            <w:hideMark/>
          </w:tcPr>
          <w:p w14:paraId="7FFE0330" w14:textId="7A96A353"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-0.205*</w:t>
            </w:r>
          </w:p>
        </w:tc>
        <w:tc>
          <w:tcPr>
            <w:tcW w:w="586" w:type="pct"/>
            <w:shd w:val="clear" w:color="auto" w:fill="auto"/>
            <w:noWrap/>
            <w:vAlign w:val="bottom"/>
            <w:hideMark/>
          </w:tcPr>
          <w:p w14:paraId="4ECD49FD" w14:textId="0004A6C2"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-0.198*</w:t>
            </w:r>
          </w:p>
        </w:tc>
        <w:tc>
          <w:tcPr>
            <w:tcW w:w="586" w:type="pct"/>
            <w:shd w:val="clear" w:color="auto" w:fill="auto"/>
            <w:noWrap/>
            <w:vAlign w:val="bottom"/>
            <w:hideMark/>
          </w:tcPr>
          <w:p w14:paraId="349C4B00" w14:textId="4D7E20D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-0.173</w:t>
            </w:r>
          </w:p>
        </w:tc>
        <w:tc>
          <w:tcPr>
            <w:tcW w:w="484" w:type="pct"/>
            <w:vAlign w:val="bottom"/>
          </w:tcPr>
          <w:p w14:paraId="6AF5FB8A" w14:textId="7ABEB311"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-0.16</w:t>
            </w:r>
          </w:p>
        </w:tc>
      </w:tr>
      <w:tr w:rsidR="002E3114" w:rsidRPr="000E6A87" w14:paraId="53BC58FC" w14:textId="77777777" w:rsidTr="0034479B">
        <w:tc>
          <w:tcPr>
            <w:tcW w:w="805" w:type="pct"/>
            <w:shd w:val="clear" w:color="auto" w:fill="auto"/>
            <w:noWrap/>
            <w:vAlign w:val="bottom"/>
            <w:hideMark/>
          </w:tcPr>
          <w:p w14:paraId="4F420D82"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Duration</w:t>
            </w:r>
          </w:p>
        </w:tc>
        <w:tc>
          <w:tcPr>
            <w:tcW w:w="779" w:type="pct"/>
            <w:shd w:val="clear" w:color="auto" w:fill="auto"/>
            <w:noWrap/>
            <w:vAlign w:val="bottom"/>
            <w:hideMark/>
          </w:tcPr>
          <w:p w14:paraId="340D1077"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743D6FB5" w14:textId="74AFEA7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0.007</w:t>
            </w:r>
          </w:p>
        </w:tc>
        <w:tc>
          <w:tcPr>
            <w:tcW w:w="586" w:type="pct"/>
            <w:shd w:val="clear" w:color="auto" w:fill="auto"/>
            <w:noWrap/>
            <w:vAlign w:val="bottom"/>
            <w:hideMark/>
          </w:tcPr>
          <w:p w14:paraId="73F361B8" w14:textId="18FB66A3"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0.008</w:t>
            </w:r>
          </w:p>
        </w:tc>
        <w:tc>
          <w:tcPr>
            <w:tcW w:w="586" w:type="pct"/>
            <w:shd w:val="clear" w:color="auto" w:fill="auto"/>
            <w:noWrap/>
            <w:vAlign w:val="bottom"/>
            <w:hideMark/>
          </w:tcPr>
          <w:p w14:paraId="5AF8D07F" w14:textId="4F7C06C9"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0.006</w:t>
            </w:r>
          </w:p>
        </w:tc>
        <w:tc>
          <w:tcPr>
            <w:tcW w:w="586" w:type="pct"/>
            <w:shd w:val="clear" w:color="auto" w:fill="auto"/>
            <w:noWrap/>
            <w:vAlign w:val="bottom"/>
            <w:hideMark/>
          </w:tcPr>
          <w:p w14:paraId="16636D55" w14:textId="4FF23A5E"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0.005</w:t>
            </w:r>
          </w:p>
        </w:tc>
        <w:tc>
          <w:tcPr>
            <w:tcW w:w="586" w:type="pct"/>
            <w:shd w:val="clear" w:color="auto" w:fill="auto"/>
            <w:noWrap/>
            <w:vAlign w:val="bottom"/>
            <w:hideMark/>
          </w:tcPr>
          <w:p w14:paraId="7F661D82" w14:textId="51CDABB9"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0.007</w:t>
            </w:r>
          </w:p>
        </w:tc>
        <w:tc>
          <w:tcPr>
            <w:tcW w:w="484" w:type="pct"/>
            <w:vAlign w:val="bottom"/>
          </w:tcPr>
          <w:p w14:paraId="0B86F6F2" w14:textId="24B18F89"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0.009</w:t>
            </w:r>
          </w:p>
        </w:tc>
      </w:tr>
      <w:tr w:rsidR="002E3114" w:rsidRPr="000E6A87" w14:paraId="5ACA8020" w14:textId="77777777" w:rsidTr="0034479B">
        <w:tc>
          <w:tcPr>
            <w:tcW w:w="805" w:type="pct"/>
            <w:shd w:val="clear" w:color="auto" w:fill="auto"/>
            <w:noWrap/>
            <w:vAlign w:val="bottom"/>
            <w:hideMark/>
          </w:tcPr>
          <w:p w14:paraId="7BAEA8CA"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Maturity</w:t>
            </w:r>
          </w:p>
        </w:tc>
        <w:tc>
          <w:tcPr>
            <w:tcW w:w="779" w:type="pct"/>
            <w:shd w:val="clear" w:color="auto" w:fill="auto"/>
            <w:noWrap/>
            <w:vAlign w:val="bottom"/>
            <w:hideMark/>
          </w:tcPr>
          <w:p w14:paraId="768E4723"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shd w:val="clear" w:color="auto" w:fill="auto"/>
            <w:noWrap/>
            <w:vAlign w:val="bottom"/>
            <w:hideMark/>
          </w:tcPr>
          <w:p w14:paraId="4B4C105C" w14:textId="7D28EA12"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0.032</w:t>
            </w:r>
          </w:p>
        </w:tc>
        <w:tc>
          <w:tcPr>
            <w:tcW w:w="586" w:type="pct"/>
            <w:shd w:val="clear" w:color="auto" w:fill="auto"/>
            <w:noWrap/>
            <w:vAlign w:val="bottom"/>
            <w:hideMark/>
          </w:tcPr>
          <w:p w14:paraId="401C82FF" w14:textId="53EB719D"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0.031</w:t>
            </w:r>
          </w:p>
        </w:tc>
        <w:tc>
          <w:tcPr>
            <w:tcW w:w="586" w:type="pct"/>
            <w:shd w:val="clear" w:color="auto" w:fill="auto"/>
            <w:noWrap/>
            <w:vAlign w:val="bottom"/>
            <w:hideMark/>
          </w:tcPr>
          <w:p w14:paraId="20DA47DB" w14:textId="65FEB8BD"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0.031</w:t>
            </w:r>
          </w:p>
        </w:tc>
        <w:tc>
          <w:tcPr>
            <w:tcW w:w="586" w:type="pct"/>
            <w:shd w:val="clear" w:color="auto" w:fill="auto"/>
            <w:noWrap/>
            <w:vAlign w:val="bottom"/>
            <w:hideMark/>
          </w:tcPr>
          <w:p w14:paraId="71036084" w14:textId="0441E856"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0.023</w:t>
            </w:r>
          </w:p>
        </w:tc>
        <w:tc>
          <w:tcPr>
            <w:tcW w:w="586" w:type="pct"/>
            <w:shd w:val="clear" w:color="auto" w:fill="auto"/>
            <w:noWrap/>
            <w:vAlign w:val="bottom"/>
            <w:hideMark/>
          </w:tcPr>
          <w:p w14:paraId="299A9E7E" w14:textId="554C66B5"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0.031</w:t>
            </w:r>
          </w:p>
        </w:tc>
        <w:tc>
          <w:tcPr>
            <w:tcW w:w="484" w:type="pct"/>
            <w:vAlign w:val="bottom"/>
          </w:tcPr>
          <w:p w14:paraId="2BBF090A" w14:textId="643F08FD"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0.041</w:t>
            </w:r>
          </w:p>
        </w:tc>
      </w:tr>
      <w:tr w:rsidR="002E3114" w:rsidRPr="000E6A87" w14:paraId="3E9FBFF4" w14:textId="77777777" w:rsidTr="0034479B">
        <w:tc>
          <w:tcPr>
            <w:tcW w:w="805" w:type="pct"/>
            <w:shd w:val="clear" w:color="auto" w:fill="auto"/>
            <w:noWrap/>
            <w:vAlign w:val="center"/>
            <w:hideMark/>
          </w:tcPr>
          <w:p w14:paraId="25A22E02"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Issue Relative Size</w:t>
            </w:r>
          </w:p>
        </w:tc>
        <w:tc>
          <w:tcPr>
            <w:tcW w:w="779" w:type="pct"/>
            <w:shd w:val="clear" w:color="auto" w:fill="auto"/>
            <w:noWrap/>
            <w:vAlign w:val="bottom"/>
            <w:hideMark/>
          </w:tcPr>
          <w:p w14:paraId="59CBC928" w14:textId="77777777" w:rsidR="002E3114" w:rsidRPr="00225AE3" w:rsidRDefault="002E3114" w:rsidP="002E3114">
            <w:pPr>
              <w:widowControl/>
              <w:tabs>
                <w:tab w:val="decimal" w:pos="556"/>
              </w:tabs>
              <w:autoSpaceDE/>
              <w:autoSpaceDN/>
              <w:ind w:left="312"/>
              <w:rPr>
                <w:rFonts w:asciiTheme="majorBidi" w:hAnsiTheme="majorBidi" w:cstheme="majorBidi"/>
                <w:color w:val="000000"/>
                <w:sz w:val="20"/>
                <w:szCs w:val="20"/>
                <w14:ligatures w14:val="none"/>
              </w:rPr>
            </w:pPr>
          </w:p>
        </w:tc>
        <w:tc>
          <w:tcPr>
            <w:tcW w:w="586" w:type="pct"/>
            <w:shd w:val="clear" w:color="auto" w:fill="auto"/>
            <w:noWrap/>
            <w:vAlign w:val="bottom"/>
            <w:hideMark/>
          </w:tcPr>
          <w:p w14:paraId="79F0F9D7" w14:textId="3FAC0B7C"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-0.04</w:t>
            </w:r>
          </w:p>
        </w:tc>
        <w:tc>
          <w:tcPr>
            <w:tcW w:w="586" w:type="pct"/>
            <w:shd w:val="clear" w:color="auto" w:fill="auto"/>
            <w:noWrap/>
            <w:vAlign w:val="bottom"/>
            <w:hideMark/>
          </w:tcPr>
          <w:p w14:paraId="2CADA60B" w14:textId="58FE99AB"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-0.038</w:t>
            </w:r>
          </w:p>
        </w:tc>
        <w:tc>
          <w:tcPr>
            <w:tcW w:w="586" w:type="pct"/>
            <w:shd w:val="clear" w:color="auto" w:fill="auto"/>
            <w:noWrap/>
            <w:vAlign w:val="bottom"/>
            <w:hideMark/>
          </w:tcPr>
          <w:p w14:paraId="1CC7AE11" w14:textId="2CE2BAB2"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-0.036</w:t>
            </w:r>
          </w:p>
        </w:tc>
        <w:tc>
          <w:tcPr>
            <w:tcW w:w="586" w:type="pct"/>
            <w:shd w:val="clear" w:color="auto" w:fill="auto"/>
            <w:noWrap/>
            <w:vAlign w:val="bottom"/>
            <w:hideMark/>
          </w:tcPr>
          <w:p w14:paraId="336D9340" w14:textId="3A3AC6A0"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-0.026</w:t>
            </w:r>
          </w:p>
        </w:tc>
        <w:tc>
          <w:tcPr>
            <w:tcW w:w="586" w:type="pct"/>
            <w:shd w:val="clear" w:color="auto" w:fill="auto"/>
            <w:noWrap/>
            <w:vAlign w:val="bottom"/>
            <w:hideMark/>
          </w:tcPr>
          <w:p w14:paraId="0DB6C642" w14:textId="46E15F43"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-0.036</w:t>
            </w:r>
          </w:p>
        </w:tc>
        <w:tc>
          <w:tcPr>
            <w:tcW w:w="484" w:type="pct"/>
            <w:vAlign w:val="bottom"/>
          </w:tcPr>
          <w:p w14:paraId="37E09ACF" w14:textId="43DD1B2D"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rPr>
              <w:t>-0.043</w:t>
            </w:r>
          </w:p>
        </w:tc>
      </w:tr>
      <w:tr w:rsidR="002E3114" w:rsidRPr="000E6A87" w14:paraId="33713A2B" w14:textId="77777777" w:rsidTr="0034479B">
        <w:tc>
          <w:tcPr>
            <w:tcW w:w="805" w:type="pct"/>
            <w:shd w:val="clear" w:color="auto" w:fill="auto"/>
            <w:noWrap/>
            <w:vAlign w:val="bottom"/>
            <w:hideMark/>
          </w:tcPr>
          <w:p w14:paraId="1193DBCB"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Milles Ratio</w:t>
            </w:r>
          </w:p>
        </w:tc>
        <w:tc>
          <w:tcPr>
            <w:tcW w:w="779" w:type="pct"/>
            <w:shd w:val="clear" w:color="auto" w:fill="auto"/>
            <w:noWrap/>
            <w:vAlign w:val="bottom"/>
            <w:hideMark/>
          </w:tcPr>
          <w:p w14:paraId="7063C0A7" w14:textId="77777777" w:rsidR="002E3114" w:rsidRPr="00225AE3" w:rsidRDefault="002E3114" w:rsidP="002E3114">
            <w:pPr>
              <w:widowControl/>
              <w:tabs>
                <w:tab w:val="decimal" w:pos="556"/>
              </w:tabs>
              <w:autoSpaceDE/>
              <w:autoSpaceDN/>
              <w:jc w:val="center"/>
              <w:rPr>
                <w:rFonts w:asciiTheme="majorBidi" w:hAnsiTheme="majorBidi" w:cstheme="majorBidi"/>
                <w:color w:val="000000"/>
                <w:sz w:val="20"/>
                <w:szCs w:val="20"/>
                <w14:ligatures w14:val="none"/>
              </w:rPr>
            </w:pPr>
          </w:p>
        </w:tc>
        <w:tc>
          <w:tcPr>
            <w:tcW w:w="586" w:type="pct"/>
            <w:shd w:val="clear" w:color="auto" w:fill="auto"/>
            <w:noWrap/>
            <w:vAlign w:val="bottom"/>
            <w:hideMark/>
          </w:tcPr>
          <w:p w14:paraId="3DE2B291" w14:textId="0354393C" w:rsidR="002E3114" w:rsidRPr="00225AE3" w:rsidRDefault="002E3114" w:rsidP="002E3114">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3.02***</w:t>
            </w:r>
          </w:p>
        </w:tc>
        <w:tc>
          <w:tcPr>
            <w:tcW w:w="586" w:type="pct"/>
            <w:shd w:val="clear" w:color="auto" w:fill="auto"/>
            <w:noWrap/>
            <w:vAlign w:val="bottom"/>
            <w:hideMark/>
          </w:tcPr>
          <w:p w14:paraId="3CE92DBB" w14:textId="7DC1CE19" w:rsidR="002E3114" w:rsidRPr="00225AE3" w:rsidRDefault="002E3114" w:rsidP="002E3114">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2.398***</w:t>
            </w:r>
          </w:p>
        </w:tc>
        <w:tc>
          <w:tcPr>
            <w:tcW w:w="586" w:type="pct"/>
            <w:shd w:val="clear" w:color="auto" w:fill="auto"/>
            <w:noWrap/>
            <w:vAlign w:val="bottom"/>
            <w:hideMark/>
          </w:tcPr>
          <w:p w14:paraId="588C3C98" w14:textId="7182BAC8" w:rsidR="002E3114" w:rsidRPr="00225AE3" w:rsidRDefault="002E3114" w:rsidP="002E3114">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2.812***</w:t>
            </w:r>
          </w:p>
        </w:tc>
        <w:tc>
          <w:tcPr>
            <w:tcW w:w="586" w:type="pct"/>
            <w:shd w:val="clear" w:color="auto" w:fill="auto"/>
            <w:noWrap/>
            <w:vAlign w:val="bottom"/>
            <w:hideMark/>
          </w:tcPr>
          <w:p w14:paraId="16FD6F02" w14:textId="43988B5B" w:rsidR="002E3114" w:rsidRPr="00225AE3" w:rsidRDefault="002E3114" w:rsidP="002E3114">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2.775***</w:t>
            </w:r>
          </w:p>
        </w:tc>
        <w:tc>
          <w:tcPr>
            <w:tcW w:w="586" w:type="pct"/>
            <w:shd w:val="clear" w:color="auto" w:fill="auto"/>
            <w:noWrap/>
            <w:vAlign w:val="bottom"/>
            <w:hideMark/>
          </w:tcPr>
          <w:p w14:paraId="139866C3" w14:textId="48C59649" w:rsidR="002E3114" w:rsidRPr="00225AE3" w:rsidRDefault="002E3114" w:rsidP="002E3114">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2.643***</w:t>
            </w:r>
          </w:p>
        </w:tc>
        <w:tc>
          <w:tcPr>
            <w:tcW w:w="484" w:type="pct"/>
            <w:vAlign w:val="bottom"/>
          </w:tcPr>
          <w:p w14:paraId="58AB01CF" w14:textId="69C68A22" w:rsidR="002E3114" w:rsidRPr="00225AE3" w:rsidRDefault="002E3114" w:rsidP="002E3114">
            <w:pPr>
              <w:widowControl/>
              <w:tabs>
                <w:tab w:val="decimal" w:pos="0"/>
              </w:tabs>
              <w:autoSpaceDE/>
              <w:autoSpaceDN/>
              <w:ind w:left="-135"/>
              <w:jc w:val="center"/>
              <w:rPr>
                <w:rFonts w:asciiTheme="majorBidi" w:hAnsiTheme="majorBidi" w:cstheme="majorBidi"/>
                <w:color w:val="000000"/>
                <w:sz w:val="20"/>
                <w:szCs w:val="20"/>
                <w14:ligatures w14:val="none"/>
              </w:rPr>
            </w:pPr>
            <w:r>
              <w:rPr>
                <w:rFonts w:ascii="Aptos Narrow" w:hAnsi="Aptos Narrow"/>
                <w:color w:val="000000"/>
              </w:rPr>
              <w:t>2.472***</w:t>
            </w:r>
          </w:p>
        </w:tc>
      </w:tr>
      <w:tr w:rsidR="002E3114" w:rsidRPr="000E6A87" w14:paraId="5C5A0681" w14:textId="77777777" w:rsidTr="0034479B">
        <w:tc>
          <w:tcPr>
            <w:tcW w:w="805" w:type="pct"/>
            <w:shd w:val="clear" w:color="auto" w:fill="auto"/>
            <w:noWrap/>
            <w:vAlign w:val="bottom"/>
            <w:hideMark/>
          </w:tcPr>
          <w:p w14:paraId="19D1408A" w14:textId="77777777" w:rsidR="002E3114" w:rsidRPr="004709F5" w:rsidRDefault="002E3114" w:rsidP="002E3114">
            <w:pPr>
              <w:widowControl/>
              <w:autoSpaceDE/>
              <w:autoSpaceDN/>
              <w:rPr>
                <w:rFonts w:asciiTheme="majorBidi" w:hAnsiTheme="majorBidi" w:cstheme="majorBidi"/>
                <w:color w:val="000000"/>
                <w14:ligatures w14:val="none"/>
              </w:rPr>
            </w:pPr>
            <w:r>
              <w:rPr>
                <w:color w:val="000000"/>
              </w:rPr>
              <w:t>Industry Effect</w:t>
            </w:r>
          </w:p>
        </w:tc>
        <w:tc>
          <w:tcPr>
            <w:tcW w:w="779" w:type="pct"/>
            <w:shd w:val="clear" w:color="auto" w:fill="auto"/>
            <w:noWrap/>
            <w:vAlign w:val="bottom"/>
            <w:hideMark/>
          </w:tcPr>
          <w:p w14:paraId="0BA5BB76" w14:textId="77777777" w:rsidR="002E3114" w:rsidRPr="00225AE3" w:rsidRDefault="002E3114" w:rsidP="002E3114">
            <w:pPr>
              <w:widowControl/>
              <w:tabs>
                <w:tab w:val="decimal" w:pos="556"/>
              </w:tabs>
              <w:autoSpaceDE/>
              <w:autoSpaceDN/>
              <w:jc w:val="center"/>
              <w:rPr>
                <w:rFonts w:asciiTheme="majorBidi" w:hAnsiTheme="majorBidi" w:cstheme="majorBidi"/>
                <w:b/>
                <w:bCs/>
                <w:color w:val="000000"/>
                <w:sz w:val="20"/>
                <w:szCs w:val="20"/>
                <w14:ligatures w14:val="none"/>
              </w:rPr>
            </w:pPr>
          </w:p>
        </w:tc>
        <w:tc>
          <w:tcPr>
            <w:tcW w:w="586" w:type="pct"/>
            <w:shd w:val="clear" w:color="auto" w:fill="auto"/>
            <w:noWrap/>
            <w:vAlign w:val="bottom"/>
            <w:hideMark/>
          </w:tcPr>
          <w:p w14:paraId="701562B9" w14:textId="32C1FC88" w:rsidR="002E3114" w:rsidRPr="00225AE3" w:rsidRDefault="002E3114" w:rsidP="002E3114">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586" w:type="pct"/>
            <w:shd w:val="clear" w:color="auto" w:fill="auto"/>
            <w:noWrap/>
            <w:vAlign w:val="bottom"/>
            <w:hideMark/>
          </w:tcPr>
          <w:p w14:paraId="7F7950A2" w14:textId="79C9FE9E" w:rsidR="002E3114" w:rsidRPr="00225AE3" w:rsidRDefault="002E3114" w:rsidP="002E3114">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586" w:type="pct"/>
            <w:shd w:val="clear" w:color="auto" w:fill="auto"/>
            <w:noWrap/>
            <w:vAlign w:val="bottom"/>
            <w:hideMark/>
          </w:tcPr>
          <w:p w14:paraId="6C1759C0" w14:textId="2B34CD6A" w:rsidR="002E3114" w:rsidRPr="00225AE3" w:rsidRDefault="002E3114" w:rsidP="002E3114">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586" w:type="pct"/>
            <w:shd w:val="clear" w:color="auto" w:fill="auto"/>
            <w:noWrap/>
            <w:vAlign w:val="bottom"/>
            <w:hideMark/>
          </w:tcPr>
          <w:p w14:paraId="56DB012D" w14:textId="129C9061" w:rsidR="002E3114" w:rsidRPr="00225AE3" w:rsidRDefault="002E3114" w:rsidP="002E3114">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586" w:type="pct"/>
            <w:shd w:val="clear" w:color="auto" w:fill="auto"/>
            <w:noWrap/>
            <w:vAlign w:val="bottom"/>
            <w:hideMark/>
          </w:tcPr>
          <w:p w14:paraId="2AC900E1" w14:textId="22D5F2C8" w:rsidR="002E3114" w:rsidRPr="00225AE3" w:rsidRDefault="002E3114" w:rsidP="002E3114">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c>
          <w:tcPr>
            <w:tcW w:w="484" w:type="pct"/>
            <w:vAlign w:val="bottom"/>
          </w:tcPr>
          <w:p w14:paraId="7C336FEE" w14:textId="2FB8CEBC" w:rsidR="002E3114" w:rsidRPr="00225AE3" w:rsidRDefault="002E3114" w:rsidP="002E3114">
            <w:pPr>
              <w:widowControl/>
              <w:tabs>
                <w:tab w:val="decimal" w:pos="0"/>
              </w:tabs>
              <w:autoSpaceDE/>
              <w:autoSpaceDN/>
              <w:ind w:left="-135"/>
              <w:jc w:val="center"/>
              <w:rPr>
                <w:rFonts w:asciiTheme="majorBidi" w:hAnsiTheme="majorBidi" w:cstheme="majorBidi"/>
                <w:b/>
                <w:bCs/>
                <w:color w:val="000000"/>
                <w:sz w:val="20"/>
                <w:szCs w:val="20"/>
                <w14:ligatures w14:val="none"/>
              </w:rPr>
            </w:pPr>
            <w:r>
              <w:rPr>
                <w:rFonts w:ascii="Aptos Narrow" w:hAnsi="Aptos Narrow"/>
                <w:color w:val="000000"/>
                <w:sz w:val="20"/>
                <w:szCs w:val="20"/>
              </w:rPr>
              <w:t>Yes</w:t>
            </w:r>
          </w:p>
        </w:tc>
      </w:tr>
      <w:tr w:rsidR="002E3114" w:rsidRPr="000E6A87" w14:paraId="3DF5C91A" w14:textId="77777777" w:rsidTr="0034479B">
        <w:tc>
          <w:tcPr>
            <w:tcW w:w="805" w:type="pct"/>
            <w:tcBorders>
              <w:bottom w:val="single" w:sz="4" w:space="0" w:color="auto"/>
            </w:tcBorders>
            <w:shd w:val="clear" w:color="auto" w:fill="auto"/>
            <w:noWrap/>
            <w:vAlign w:val="bottom"/>
          </w:tcPr>
          <w:p w14:paraId="04B86540" w14:textId="77777777" w:rsidR="002E3114" w:rsidRPr="004709F5" w:rsidRDefault="002E3114" w:rsidP="002E3114">
            <w:pPr>
              <w:widowControl/>
              <w:autoSpaceDE/>
              <w:autoSpaceDN/>
              <w:rPr>
                <w:rFonts w:asciiTheme="majorBidi" w:hAnsiTheme="majorBidi" w:cstheme="majorBidi"/>
                <w:b/>
                <w:bCs/>
                <w:color w:val="000000"/>
                <w14:ligatures w14:val="none"/>
              </w:rPr>
            </w:pPr>
            <w:r>
              <w:rPr>
                <w:color w:val="000000"/>
              </w:rPr>
              <w:t>Year Effect</w:t>
            </w:r>
          </w:p>
        </w:tc>
        <w:tc>
          <w:tcPr>
            <w:tcW w:w="779" w:type="pct"/>
            <w:tcBorders>
              <w:bottom w:val="single" w:sz="4" w:space="0" w:color="auto"/>
            </w:tcBorders>
            <w:shd w:val="clear" w:color="auto" w:fill="auto"/>
            <w:noWrap/>
            <w:vAlign w:val="bottom"/>
          </w:tcPr>
          <w:p w14:paraId="3110E852" w14:textId="77777777" w:rsidR="002E3114" w:rsidRPr="0005636E" w:rsidRDefault="002E3114" w:rsidP="002E3114">
            <w:pPr>
              <w:widowControl/>
              <w:tabs>
                <w:tab w:val="decimal" w:pos="556"/>
              </w:tabs>
              <w:autoSpaceDE/>
              <w:autoSpaceDN/>
              <w:rPr>
                <w:rFonts w:asciiTheme="majorBidi" w:hAnsiTheme="majorBidi" w:cstheme="majorBidi"/>
                <w:color w:val="000000"/>
                <w:sz w:val="20"/>
                <w:szCs w:val="20"/>
              </w:rPr>
            </w:pPr>
          </w:p>
        </w:tc>
        <w:tc>
          <w:tcPr>
            <w:tcW w:w="586" w:type="pct"/>
            <w:tcBorders>
              <w:bottom w:val="single" w:sz="4" w:space="0" w:color="auto"/>
            </w:tcBorders>
            <w:shd w:val="clear" w:color="auto" w:fill="auto"/>
            <w:noWrap/>
            <w:vAlign w:val="bottom"/>
          </w:tcPr>
          <w:p w14:paraId="70AD61BC" w14:textId="269A8417"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586" w:type="pct"/>
            <w:tcBorders>
              <w:bottom w:val="single" w:sz="4" w:space="0" w:color="auto"/>
            </w:tcBorders>
            <w:shd w:val="clear" w:color="auto" w:fill="auto"/>
            <w:noWrap/>
            <w:vAlign w:val="bottom"/>
          </w:tcPr>
          <w:p w14:paraId="468B623B" w14:textId="39DCB209"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586" w:type="pct"/>
            <w:tcBorders>
              <w:bottom w:val="single" w:sz="4" w:space="0" w:color="auto"/>
            </w:tcBorders>
            <w:shd w:val="clear" w:color="auto" w:fill="auto"/>
            <w:noWrap/>
            <w:vAlign w:val="bottom"/>
          </w:tcPr>
          <w:p w14:paraId="6C4451DD" w14:textId="356C3921"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586" w:type="pct"/>
            <w:tcBorders>
              <w:bottom w:val="single" w:sz="4" w:space="0" w:color="auto"/>
            </w:tcBorders>
            <w:shd w:val="clear" w:color="auto" w:fill="auto"/>
            <w:noWrap/>
            <w:vAlign w:val="bottom"/>
          </w:tcPr>
          <w:p w14:paraId="140582B9" w14:textId="74EFA9E2"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586" w:type="pct"/>
            <w:tcBorders>
              <w:bottom w:val="single" w:sz="4" w:space="0" w:color="auto"/>
            </w:tcBorders>
            <w:shd w:val="clear" w:color="auto" w:fill="auto"/>
            <w:noWrap/>
            <w:vAlign w:val="bottom"/>
          </w:tcPr>
          <w:p w14:paraId="3274BB5D" w14:textId="434C63D1"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c>
          <w:tcPr>
            <w:tcW w:w="484" w:type="pct"/>
            <w:tcBorders>
              <w:bottom w:val="single" w:sz="4" w:space="0" w:color="auto"/>
            </w:tcBorders>
            <w:vAlign w:val="bottom"/>
          </w:tcPr>
          <w:p w14:paraId="4344B58D" w14:textId="1F0AC903" w:rsidR="002E3114" w:rsidRPr="0005636E" w:rsidRDefault="002E3114" w:rsidP="002E3114">
            <w:pPr>
              <w:widowControl/>
              <w:tabs>
                <w:tab w:val="decimal" w:pos="375"/>
              </w:tabs>
              <w:autoSpaceDE/>
              <w:autoSpaceDN/>
              <w:ind w:left="-75"/>
              <w:rPr>
                <w:rFonts w:asciiTheme="majorBidi" w:hAnsiTheme="majorBidi" w:cstheme="majorBidi"/>
                <w:color w:val="000000"/>
                <w:sz w:val="20"/>
                <w:szCs w:val="20"/>
              </w:rPr>
            </w:pPr>
            <w:r>
              <w:rPr>
                <w:rFonts w:ascii="Aptos Narrow" w:hAnsi="Aptos Narrow"/>
                <w:color w:val="000000"/>
                <w:sz w:val="20"/>
                <w:szCs w:val="20"/>
              </w:rPr>
              <w:t>Yes</w:t>
            </w:r>
          </w:p>
        </w:tc>
      </w:tr>
      <w:tr w:rsidR="002E3114" w:rsidRPr="000E6A87" w14:paraId="77A62905" w14:textId="77777777" w:rsidTr="0034479B">
        <w:tc>
          <w:tcPr>
            <w:tcW w:w="805" w:type="pct"/>
            <w:tcBorders>
              <w:bottom w:val="single" w:sz="4" w:space="0" w:color="auto"/>
            </w:tcBorders>
            <w:shd w:val="clear" w:color="auto" w:fill="auto"/>
            <w:noWrap/>
            <w:vAlign w:val="bottom"/>
          </w:tcPr>
          <w:p w14:paraId="1930ACFC" w14:textId="77777777" w:rsidR="002E3114" w:rsidRPr="004709F5" w:rsidRDefault="002E3114" w:rsidP="002E3114">
            <w:pPr>
              <w:widowControl/>
              <w:autoSpaceDE/>
              <w:autoSpaceDN/>
              <w:rPr>
                <w:rFonts w:asciiTheme="majorBidi" w:hAnsiTheme="majorBidi" w:cstheme="majorBidi"/>
                <w:color w:val="000000"/>
              </w:rPr>
            </w:pPr>
            <w:r>
              <w:rPr>
                <w:color w:val="000000"/>
              </w:rPr>
              <w:t xml:space="preserve"> Pseudo R2</w:t>
            </w:r>
          </w:p>
        </w:tc>
        <w:tc>
          <w:tcPr>
            <w:tcW w:w="779" w:type="pct"/>
            <w:tcBorders>
              <w:bottom w:val="single" w:sz="4" w:space="0" w:color="auto"/>
            </w:tcBorders>
            <w:shd w:val="clear" w:color="auto" w:fill="auto"/>
            <w:noWrap/>
            <w:vAlign w:val="bottom"/>
          </w:tcPr>
          <w:p w14:paraId="7B68FE69" w14:textId="2F840A2F" w:rsidR="002E3114" w:rsidRDefault="002E3114" w:rsidP="002E3114">
            <w:pPr>
              <w:widowControl/>
              <w:tabs>
                <w:tab w:val="decimal" w:pos="556"/>
              </w:tabs>
              <w:autoSpaceDE/>
              <w:autoSpaceDN/>
              <w:rPr>
                <w:rFonts w:ascii="Aptos Narrow" w:hAnsi="Aptos Narrow"/>
                <w:color w:val="000000"/>
              </w:rPr>
            </w:pPr>
            <w:r>
              <w:rPr>
                <w:rFonts w:ascii="Aptos Narrow" w:hAnsi="Aptos Narrow"/>
                <w:color w:val="000000"/>
              </w:rPr>
              <w:t>0.309</w:t>
            </w:r>
          </w:p>
        </w:tc>
        <w:tc>
          <w:tcPr>
            <w:tcW w:w="586" w:type="pct"/>
            <w:tcBorders>
              <w:bottom w:val="single" w:sz="4" w:space="0" w:color="auto"/>
            </w:tcBorders>
            <w:shd w:val="clear" w:color="auto" w:fill="auto"/>
            <w:noWrap/>
            <w:vAlign w:val="bottom"/>
          </w:tcPr>
          <w:p w14:paraId="05F4EB33" w14:textId="25720F21" w:rsidR="002E3114" w:rsidRDefault="002E3114" w:rsidP="002E3114">
            <w:pPr>
              <w:widowControl/>
              <w:tabs>
                <w:tab w:val="decimal" w:pos="375"/>
              </w:tabs>
              <w:autoSpaceDE/>
              <w:autoSpaceDN/>
              <w:ind w:left="-75"/>
              <w:rPr>
                <w:rFonts w:ascii="Aptos Narrow" w:hAnsi="Aptos Narrow"/>
                <w:color w:val="000000"/>
              </w:rPr>
            </w:pPr>
            <w:r>
              <w:rPr>
                <w:rFonts w:ascii="Aptos Narrow" w:hAnsi="Aptos Narrow"/>
                <w:color w:val="000000"/>
              </w:rPr>
              <w:t>0.032</w:t>
            </w:r>
          </w:p>
        </w:tc>
        <w:tc>
          <w:tcPr>
            <w:tcW w:w="586" w:type="pct"/>
            <w:tcBorders>
              <w:bottom w:val="single" w:sz="4" w:space="0" w:color="auto"/>
            </w:tcBorders>
            <w:shd w:val="clear" w:color="auto" w:fill="auto"/>
            <w:noWrap/>
            <w:vAlign w:val="bottom"/>
          </w:tcPr>
          <w:p w14:paraId="1FEFAA1E" w14:textId="5FB13058" w:rsidR="002E3114" w:rsidRDefault="002E3114" w:rsidP="002E3114">
            <w:pPr>
              <w:widowControl/>
              <w:tabs>
                <w:tab w:val="decimal" w:pos="375"/>
              </w:tabs>
              <w:autoSpaceDE/>
              <w:autoSpaceDN/>
              <w:ind w:left="-75"/>
              <w:rPr>
                <w:rFonts w:ascii="Aptos Narrow" w:hAnsi="Aptos Narrow"/>
                <w:color w:val="000000"/>
              </w:rPr>
            </w:pPr>
            <w:r>
              <w:rPr>
                <w:rFonts w:ascii="Aptos Narrow" w:hAnsi="Aptos Narrow"/>
                <w:color w:val="000000"/>
              </w:rPr>
              <w:t>0.03</w:t>
            </w:r>
          </w:p>
        </w:tc>
        <w:tc>
          <w:tcPr>
            <w:tcW w:w="586" w:type="pct"/>
            <w:tcBorders>
              <w:bottom w:val="single" w:sz="4" w:space="0" w:color="auto"/>
            </w:tcBorders>
            <w:shd w:val="clear" w:color="auto" w:fill="auto"/>
            <w:noWrap/>
            <w:vAlign w:val="bottom"/>
          </w:tcPr>
          <w:p w14:paraId="485E0947" w14:textId="155776EC" w:rsidR="002E3114" w:rsidRDefault="002E3114" w:rsidP="002E3114">
            <w:pPr>
              <w:widowControl/>
              <w:tabs>
                <w:tab w:val="decimal" w:pos="375"/>
              </w:tabs>
              <w:autoSpaceDE/>
              <w:autoSpaceDN/>
              <w:ind w:left="-75"/>
              <w:rPr>
                <w:rFonts w:ascii="Aptos Narrow" w:hAnsi="Aptos Narrow"/>
                <w:color w:val="000000"/>
              </w:rPr>
            </w:pPr>
            <w:r>
              <w:rPr>
                <w:rFonts w:ascii="Aptos Narrow" w:hAnsi="Aptos Narrow"/>
                <w:color w:val="000000"/>
              </w:rPr>
              <w:t>0.033</w:t>
            </w:r>
          </w:p>
        </w:tc>
        <w:tc>
          <w:tcPr>
            <w:tcW w:w="586" w:type="pct"/>
            <w:tcBorders>
              <w:bottom w:val="single" w:sz="4" w:space="0" w:color="auto"/>
            </w:tcBorders>
            <w:shd w:val="clear" w:color="auto" w:fill="auto"/>
            <w:noWrap/>
            <w:vAlign w:val="bottom"/>
          </w:tcPr>
          <w:p w14:paraId="5A96D477" w14:textId="7F39157D" w:rsidR="002E3114" w:rsidRDefault="002E3114" w:rsidP="002E3114">
            <w:pPr>
              <w:widowControl/>
              <w:tabs>
                <w:tab w:val="decimal" w:pos="375"/>
              </w:tabs>
              <w:autoSpaceDE/>
              <w:autoSpaceDN/>
              <w:ind w:left="-75"/>
              <w:rPr>
                <w:rFonts w:ascii="Aptos Narrow" w:hAnsi="Aptos Narrow"/>
                <w:color w:val="000000"/>
              </w:rPr>
            </w:pPr>
            <w:r>
              <w:rPr>
                <w:rFonts w:ascii="Aptos Narrow" w:hAnsi="Aptos Narrow"/>
                <w:color w:val="000000"/>
              </w:rPr>
              <w:t>0.032</w:t>
            </w:r>
          </w:p>
        </w:tc>
        <w:tc>
          <w:tcPr>
            <w:tcW w:w="586" w:type="pct"/>
            <w:tcBorders>
              <w:bottom w:val="single" w:sz="4" w:space="0" w:color="auto"/>
            </w:tcBorders>
            <w:shd w:val="clear" w:color="auto" w:fill="auto"/>
            <w:noWrap/>
            <w:vAlign w:val="bottom"/>
          </w:tcPr>
          <w:p w14:paraId="6761B3BE" w14:textId="5D61148F" w:rsidR="002E3114" w:rsidRDefault="002E3114" w:rsidP="002E3114">
            <w:pPr>
              <w:widowControl/>
              <w:tabs>
                <w:tab w:val="decimal" w:pos="375"/>
              </w:tabs>
              <w:autoSpaceDE/>
              <w:autoSpaceDN/>
              <w:ind w:left="-75"/>
              <w:rPr>
                <w:rFonts w:ascii="Aptos Narrow" w:hAnsi="Aptos Narrow"/>
                <w:color w:val="000000"/>
              </w:rPr>
            </w:pPr>
            <w:r>
              <w:rPr>
                <w:rFonts w:ascii="Aptos Narrow" w:hAnsi="Aptos Narrow"/>
                <w:color w:val="000000"/>
              </w:rPr>
              <w:t>0.031</w:t>
            </w:r>
          </w:p>
        </w:tc>
        <w:tc>
          <w:tcPr>
            <w:tcW w:w="484" w:type="pct"/>
            <w:tcBorders>
              <w:bottom w:val="single" w:sz="4" w:space="0" w:color="auto"/>
            </w:tcBorders>
            <w:vAlign w:val="bottom"/>
          </w:tcPr>
          <w:p w14:paraId="2A396A0C" w14:textId="77BAE3D1" w:rsidR="002E3114" w:rsidRDefault="002E3114" w:rsidP="002E3114">
            <w:pPr>
              <w:widowControl/>
              <w:tabs>
                <w:tab w:val="decimal" w:pos="375"/>
              </w:tabs>
              <w:autoSpaceDE/>
              <w:autoSpaceDN/>
              <w:ind w:left="-75"/>
              <w:rPr>
                <w:rFonts w:ascii="Aptos Narrow" w:hAnsi="Aptos Narrow"/>
                <w:color w:val="000000"/>
              </w:rPr>
            </w:pPr>
            <w:r>
              <w:rPr>
                <w:rFonts w:ascii="Aptos Narrow" w:hAnsi="Aptos Narrow"/>
                <w:color w:val="000000"/>
              </w:rPr>
              <w:t>0.034</w:t>
            </w:r>
          </w:p>
        </w:tc>
      </w:tr>
      <w:tr w:rsidR="000F50D8" w:rsidRPr="000E6A87" w14:paraId="5310B3BB" w14:textId="77777777" w:rsidTr="0034479B">
        <w:tc>
          <w:tcPr>
            <w:tcW w:w="805" w:type="pct"/>
            <w:tcBorders>
              <w:bottom w:val="single" w:sz="4" w:space="0" w:color="auto"/>
            </w:tcBorders>
            <w:shd w:val="clear" w:color="auto" w:fill="auto"/>
            <w:noWrap/>
            <w:vAlign w:val="bottom"/>
          </w:tcPr>
          <w:p w14:paraId="3C809CC7" w14:textId="77777777" w:rsidR="000F50D8" w:rsidRPr="004709F5" w:rsidRDefault="000F50D8" w:rsidP="0034479B">
            <w:pPr>
              <w:widowControl/>
              <w:autoSpaceDE/>
              <w:autoSpaceDN/>
              <w:rPr>
                <w:rFonts w:asciiTheme="majorBidi" w:hAnsiTheme="majorBidi" w:cstheme="majorBidi"/>
                <w:color w:val="000000"/>
              </w:rPr>
            </w:pPr>
            <w:r>
              <w:rPr>
                <w:color w:val="000000"/>
              </w:rPr>
              <w:t>N</w:t>
            </w:r>
          </w:p>
        </w:tc>
        <w:tc>
          <w:tcPr>
            <w:tcW w:w="779" w:type="pct"/>
            <w:tcBorders>
              <w:bottom w:val="single" w:sz="4" w:space="0" w:color="auto"/>
            </w:tcBorders>
            <w:shd w:val="clear" w:color="auto" w:fill="auto"/>
            <w:noWrap/>
            <w:vAlign w:val="bottom"/>
          </w:tcPr>
          <w:p w14:paraId="2D0B50CA" w14:textId="77777777" w:rsidR="000F50D8" w:rsidRDefault="000F50D8" w:rsidP="0034479B">
            <w:pPr>
              <w:widowControl/>
              <w:tabs>
                <w:tab w:val="decimal" w:pos="556"/>
              </w:tabs>
              <w:autoSpaceDE/>
              <w:autoSpaceDN/>
              <w:rPr>
                <w:rFonts w:ascii="Aptos Narrow" w:hAnsi="Aptos Narrow"/>
                <w:color w:val="000000"/>
              </w:rPr>
            </w:pPr>
            <w:r>
              <w:rPr>
                <w:rFonts w:ascii="Aptos Narrow" w:hAnsi="Aptos Narrow"/>
                <w:color w:val="000000"/>
              </w:rPr>
              <w:t xml:space="preserve">          8,453 </w:t>
            </w:r>
          </w:p>
        </w:tc>
        <w:tc>
          <w:tcPr>
            <w:tcW w:w="586" w:type="pct"/>
            <w:tcBorders>
              <w:bottom w:val="single" w:sz="4" w:space="0" w:color="auto"/>
            </w:tcBorders>
            <w:shd w:val="clear" w:color="auto" w:fill="auto"/>
            <w:noWrap/>
            <w:vAlign w:val="bottom"/>
          </w:tcPr>
          <w:p w14:paraId="26272EB3" w14:textId="77777777" w:rsidR="000F50D8" w:rsidRDefault="000F50D8"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586" w:type="pct"/>
            <w:tcBorders>
              <w:bottom w:val="single" w:sz="4" w:space="0" w:color="auto"/>
            </w:tcBorders>
            <w:shd w:val="clear" w:color="auto" w:fill="auto"/>
            <w:noWrap/>
            <w:vAlign w:val="bottom"/>
          </w:tcPr>
          <w:p w14:paraId="48375049" w14:textId="77777777" w:rsidR="000F50D8" w:rsidRDefault="000F50D8"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586" w:type="pct"/>
            <w:tcBorders>
              <w:bottom w:val="single" w:sz="4" w:space="0" w:color="auto"/>
            </w:tcBorders>
            <w:shd w:val="clear" w:color="auto" w:fill="auto"/>
            <w:noWrap/>
            <w:vAlign w:val="bottom"/>
          </w:tcPr>
          <w:p w14:paraId="0D0FD066" w14:textId="77777777" w:rsidR="000F50D8" w:rsidRDefault="000F50D8"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586" w:type="pct"/>
            <w:tcBorders>
              <w:bottom w:val="single" w:sz="4" w:space="0" w:color="auto"/>
            </w:tcBorders>
            <w:shd w:val="clear" w:color="auto" w:fill="auto"/>
            <w:noWrap/>
            <w:vAlign w:val="bottom"/>
          </w:tcPr>
          <w:p w14:paraId="32BA7E4C" w14:textId="77777777" w:rsidR="000F50D8" w:rsidRDefault="000F50D8"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586" w:type="pct"/>
            <w:tcBorders>
              <w:bottom w:val="single" w:sz="4" w:space="0" w:color="auto"/>
            </w:tcBorders>
            <w:shd w:val="clear" w:color="auto" w:fill="auto"/>
            <w:noWrap/>
            <w:vAlign w:val="bottom"/>
          </w:tcPr>
          <w:p w14:paraId="378BE7A7" w14:textId="77777777" w:rsidR="000F50D8" w:rsidRDefault="000F50D8"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c>
          <w:tcPr>
            <w:tcW w:w="484" w:type="pct"/>
            <w:tcBorders>
              <w:bottom w:val="single" w:sz="4" w:space="0" w:color="auto"/>
            </w:tcBorders>
            <w:vAlign w:val="bottom"/>
          </w:tcPr>
          <w:p w14:paraId="0D42B46F" w14:textId="77777777" w:rsidR="000F50D8" w:rsidRDefault="000F50D8" w:rsidP="0034479B">
            <w:pPr>
              <w:widowControl/>
              <w:tabs>
                <w:tab w:val="decimal" w:pos="375"/>
              </w:tabs>
              <w:autoSpaceDE/>
              <w:autoSpaceDN/>
              <w:ind w:left="-75"/>
              <w:rPr>
                <w:rFonts w:ascii="Aptos Narrow" w:hAnsi="Aptos Narrow"/>
                <w:color w:val="000000"/>
              </w:rPr>
            </w:pPr>
            <w:r>
              <w:rPr>
                <w:rFonts w:ascii="Aptos Narrow" w:hAnsi="Aptos Narrow"/>
                <w:color w:val="000000"/>
              </w:rPr>
              <w:t xml:space="preserve">          6,970 </w:t>
            </w:r>
          </w:p>
        </w:tc>
      </w:tr>
    </w:tbl>
    <w:p w14:paraId="42CBE99F" w14:textId="77777777" w:rsidR="000F50D8" w:rsidRDefault="000F50D8" w:rsidP="000F50D8">
      <w:pPr>
        <w:jc w:val="both"/>
        <w:rPr>
          <w:rFonts w:asciiTheme="majorBidi" w:hAnsiTheme="majorBidi" w:cstheme="majorBidi"/>
        </w:rPr>
      </w:pPr>
      <w:r w:rsidRPr="00B67CC0">
        <w:rPr>
          <w:rFonts w:asciiTheme="majorBidi" w:hAnsiTheme="majorBidi" w:cstheme="majorBidi"/>
        </w:rPr>
        <w:t>*, **  indicate significance at 5%, and 1% level, respectively</w:t>
      </w:r>
    </w:p>
    <w:p w14:paraId="23CE46B0" w14:textId="77777777" w:rsidR="000F50D8" w:rsidRDefault="000F50D8" w:rsidP="000F50D8">
      <w:pPr>
        <w:widowControl/>
        <w:autoSpaceDE/>
        <w:autoSpaceDN/>
        <w:jc w:val="both"/>
        <w:rPr>
          <w:rFonts w:asciiTheme="majorBidi" w:hAnsiTheme="majorBidi" w:cstheme="majorBidi"/>
        </w:rPr>
      </w:pPr>
      <w:r w:rsidRPr="00B67CC0">
        <w:rPr>
          <w:rFonts w:asciiTheme="majorBidi" w:hAnsiTheme="majorBidi" w:cstheme="majorBidi"/>
          <w14:ligatures w14:val="none"/>
        </w:rPr>
        <w:t xml:space="preserve">*Each ESG measure has a polarity indicating whether a higher value is positive or negative. </w:t>
      </w:r>
      <w:r w:rsidRPr="00B67CC0">
        <w:rPr>
          <w:rFonts w:asciiTheme="majorBidi" w:hAnsiTheme="majorBidi" w:cstheme="majorBidi"/>
        </w:rPr>
        <w:t>Companies with no controversies get a score of 100.</w:t>
      </w:r>
    </w:p>
    <w:p w14:paraId="1F9B0EAD" w14:textId="77777777" w:rsidR="00342C55" w:rsidRDefault="00342C55" w:rsidP="0027089E">
      <w:pPr>
        <w:adjustRightInd w:val="0"/>
        <w:spacing w:line="480" w:lineRule="auto"/>
        <w:jc w:val="both"/>
        <w:rPr>
          <w:rFonts w:asciiTheme="majorBidi" w:hAnsiTheme="majorBidi" w:cstheme="majorBidi"/>
        </w:rPr>
        <w:sectPr w:rsidR="00342C55" w:rsidSect="00030BD5">
          <w:pgSz w:w="15840" w:h="12240" w:orient="landscape"/>
          <w:pgMar w:top="1440" w:right="1440" w:bottom="1440" w:left="1440" w:header="720" w:footer="720" w:gutter="0"/>
          <w:cols w:space="720"/>
          <w:docGrid w:linePitch="360"/>
        </w:sectPr>
      </w:pPr>
    </w:p>
    <w:p w14:paraId="1FDB2697" w14:textId="77777777" w:rsidR="00111D6B" w:rsidRPr="00E03C2E" w:rsidRDefault="00111D6B" w:rsidP="00111D6B">
      <w:pPr>
        <w:pStyle w:val="NormalWeb"/>
        <w:spacing w:before="0" w:beforeAutospacing="0"/>
        <w:ind w:firstLine="432"/>
        <w:jc w:val="both"/>
        <w:rPr>
          <w:rFonts w:asciiTheme="majorBidi" w:hAnsiTheme="majorBidi" w:cstheme="majorBidi"/>
        </w:rPr>
      </w:pPr>
    </w:p>
    <w:tbl>
      <w:tblPr>
        <w:tblW w:w="4144" w:type="pct"/>
        <w:tblBorders>
          <w:top w:val="single" w:sz="4" w:space="0" w:color="auto"/>
          <w:bottom w:val="single" w:sz="4" w:space="0" w:color="auto"/>
          <w:insideH w:val="single" w:sz="4" w:space="0" w:color="auto"/>
        </w:tblBorders>
        <w:tblLook w:val="04A0" w:firstRow="1" w:lastRow="0" w:firstColumn="1" w:lastColumn="0" w:noHBand="0" w:noVBand="1"/>
      </w:tblPr>
      <w:tblGrid>
        <w:gridCol w:w="3123"/>
        <w:gridCol w:w="1429"/>
        <w:gridCol w:w="1603"/>
        <w:gridCol w:w="1603"/>
      </w:tblGrid>
      <w:tr w:rsidR="00111D6B" w:rsidRPr="00700FC9" w14:paraId="6DB7B2B5" w14:textId="77777777" w:rsidTr="0034479B">
        <w:tc>
          <w:tcPr>
            <w:tcW w:w="2013" w:type="pct"/>
            <w:tcBorders>
              <w:top w:val="double" w:sz="4" w:space="0" w:color="auto"/>
              <w:bottom w:val="double" w:sz="4" w:space="0" w:color="auto"/>
              <w:right w:val="nil"/>
            </w:tcBorders>
            <w:shd w:val="clear" w:color="auto" w:fill="auto"/>
            <w:noWrap/>
            <w:vAlign w:val="center"/>
            <w:hideMark/>
          </w:tcPr>
          <w:p w14:paraId="35643524" w14:textId="77777777" w:rsidR="00111D6B" w:rsidRPr="00336FBC" w:rsidRDefault="00111D6B" w:rsidP="0034479B">
            <w:pPr>
              <w:widowControl/>
              <w:autoSpaceDE/>
              <w:autoSpaceDN/>
              <w:rPr>
                <w:rFonts w:asciiTheme="majorBidi" w:hAnsiTheme="majorBidi" w:cstheme="majorBidi"/>
                <w:color w:val="000000"/>
                <w14:ligatures w14:val="none"/>
              </w:rPr>
            </w:pPr>
            <w:r w:rsidRPr="00336FBC">
              <w:rPr>
                <w:rFonts w:asciiTheme="majorBidi" w:hAnsiTheme="majorBidi" w:cstheme="majorBidi"/>
                <w:color w:val="000000"/>
                <w14:ligatures w14:val="none"/>
              </w:rPr>
              <w:t>Variables</w:t>
            </w:r>
          </w:p>
        </w:tc>
        <w:tc>
          <w:tcPr>
            <w:tcW w:w="921" w:type="pct"/>
            <w:tcBorders>
              <w:top w:val="double" w:sz="4" w:space="0" w:color="auto"/>
              <w:left w:val="nil"/>
              <w:bottom w:val="double" w:sz="4" w:space="0" w:color="auto"/>
              <w:right w:val="nil"/>
            </w:tcBorders>
            <w:shd w:val="clear" w:color="auto" w:fill="auto"/>
            <w:vAlign w:val="center"/>
            <w:hideMark/>
          </w:tcPr>
          <w:p w14:paraId="60576817" w14:textId="77777777" w:rsidR="00111D6B" w:rsidRPr="00336FBC" w:rsidRDefault="00111D6B" w:rsidP="0034479B">
            <w:pPr>
              <w:widowControl/>
              <w:autoSpaceDE/>
              <w:autoSpaceDN/>
              <w:jc w:val="center"/>
              <w:rPr>
                <w:rFonts w:asciiTheme="majorBidi" w:hAnsiTheme="majorBidi" w:cstheme="majorBidi"/>
                <w:color w:val="000000"/>
                <w14:ligatures w14:val="none"/>
              </w:rPr>
            </w:pPr>
            <w:r>
              <w:rPr>
                <w:rFonts w:asciiTheme="majorBidi" w:hAnsiTheme="majorBidi" w:cstheme="majorBidi"/>
                <w:sz w:val="24"/>
                <w:szCs w:val="24"/>
              </w:rPr>
              <w:t>Y</w:t>
            </w:r>
            <w:r w:rsidRPr="008B05A0">
              <w:rPr>
                <w:rFonts w:asciiTheme="majorBidi" w:hAnsiTheme="majorBidi" w:cstheme="majorBidi"/>
                <w:sz w:val="24"/>
                <w:szCs w:val="24"/>
              </w:rPr>
              <w:t>ield</w:t>
            </w:r>
            <w:r>
              <w:rPr>
                <w:color w:val="000000"/>
              </w:rPr>
              <w:t xml:space="preserve"> Spread</w:t>
            </w:r>
          </w:p>
        </w:tc>
        <w:tc>
          <w:tcPr>
            <w:tcW w:w="1033" w:type="pct"/>
            <w:tcBorders>
              <w:top w:val="double" w:sz="4" w:space="0" w:color="auto"/>
              <w:left w:val="nil"/>
              <w:bottom w:val="double" w:sz="4" w:space="0" w:color="auto"/>
              <w:right w:val="nil"/>
            </w:tcBorders>
            <w:shd w:val="clear" w:color="auto" w:fill="auto"/>
            <w:vAlign w:val="center"/>
            <w:hideMark/>
          </w:tcPr>
          <w:p w14:paraId="1441152C" w14:textId="77777777" w:rsidR="00111D6B" w:rsidRPr="00336FBC" w:rsidRDefault="00111D6B" w:rsidP="0034479B">
            <w:pPr>
              <w:widowControl/>
              <w:autoSpaceDE/>
              <w:autoSpaceDN/>
              <w:jc w:val="center"/>
              <w:rPr>
                <w:rFonts w:asciiTheme="majorBidi" w:hAnsiTheme="majorBidi" w:cstheme="majorBidi"/>
                <w:color w:val="000000"/>
                <w14:ligatures w14:val="none"/>
              </w:rPr>
            </w:pPr>
            <w:r>
              <w:rPr>
                <w:rFonts w:asciiTheme="majorBidi" w:hAnsiTheme="majorBidi" w:cstheme="majorBidi"/>
              </w:rPr>
              <w:t>Y</w:t>
            </w:r>
            <w:r w:rsidRPr="00FA6DFE">
              <w:rPr>
                <w:rFonts w:asciiTheme="majorBidi" w:hAnsiTheme="majorBidi" w:cstheme="majorBidi"/>
              </w:rPr>
              <w:t xml:space="preserve">ield to </w:t>
            </w:r>
            <w:r>
              <w:rPr>
                <w:rFonts w:asciiTheme="majorBidi" w:hAnsiTheme="majorBidi" w:cstheme="majorBidi"/>
              </w:rPr>
              <w:t>M</w:t>
            </w:r>
            <w:r w:rsidRPr="00FA6DFE">
              <w:rPr>
                <w:rFonts w:asciiTheme="majorBidi" w:hAnsiTheme="majorBidi" w:cstheme="majorBidi"/>
              </w:rPr>
              <w:t>aturity</w:t>
            </w:r>
          </w:p>
        </w:tc>
        <w:tc>
          <w:tcPr>
            <w:tcW w:w="1033" w:type="pct"/>
            <w:tcBorders>
              <w:top w:val="double" w:sz="4" w:space="0" w:color="auto"/>
              <w:left w:val="nil"/>
              <w:bottom w:val="double" w:sz="4" w:space="0" w:color="auto"/>
            </w:tcBorders>
            <w:shd w:val="clear" w:color="auto" w:fill="auto"/>
            <w:vAlign w:val="center"/>
            <w:hideMark/>
          </w:tcPr>
          <w:p w14:paraId="1FD5F228" w14:textId="77777777" w:rsidR="00111D6B" w:rsidRPr="00336FBC" w:rsidRDefault="00111D6B" w:rsidP="0034479B">
            <w:pPr>
              <w:widowControl/>
              <w:autoSpaceDE/>
              <w:autoSpaceDN/>
              <w:jc w:val="center"/>
              <w:rPr>
                <w:rFonts w:asciiTheme="majorBidi" w:hAnsiTheme="majorBidi" w:cstheme="majorBidi"/>
                <w:color w:val="000000"/>
                <w14:ligatures w14:val="none"/>
              </w:rPr>
            </w:pPr>
            <w:r>
              <w:rPr>
                <w:color w:val="000000"/>
              </w:rPr>
              <w:t>Moody's Rating</w:t>
            </w:r>
          </w:p>
        </w:tc>
      </w:tr>
      <w:tr w:rsidR="00111D6B" w:rsidRPr="005B472B" w14:paraId="069A5BB7" w14:textId="77777777" w:rsidTr="0034479B">
        <w:tc>
          <w:tcPr>
            <w:tcW w:w="2013" w:type="pct"/>
            <w:tcBorders>
              <w:top w:val="double" w:sz="4" w:space="0" w:color="auto"/>
              <w:bottom w:val="double" w:sz="4" w:space="0" w:color="auto"/>
              <w:right w:val="nil"/>
            </w:tcBorders>
            <w:shd w:val="clear" w:color="auto" w:fill="auto"/>
            <w:noWrap/>
            <w:vAlign w:val="bottom"/>
          </w:tcPr>
          <w:p w14:paraId="3B4FC337" w14:textId="77777777" w:rsidR="00111D6B" w:rsidRPr="00270209" w:rsidRDefault="00111D6B" w:rsidP="0034479B">
            <w:pPr>
              <w:widowControl/>
              <w:autoSpaceDE/>
              <w:autoSpaceDN/>
              <w:rPr>
                <w:b/>
                <w:bCs/>
                <w:color w:val="000000"/>
              </w:rPr>
            </w:pPr>
            <w:r w:rsidRPr="00137E80">
              <w:rPr>
                <w:b/>
                <w:bCs/>
                <w14:ligatures w14:val="none"/>
              </w:rPr>
              <w:t>Offer characteristics</w:t>
            </w:r>
          </w:p>
        </w:tc>
        <w:tc>
          <w:tcPr>
            <w:tcW w:w="921" w:type="pct"/>
            <w:tcBorders>
              <w:top w:val="double" w:sz="4" w:space="0" w:color="auto"/>
              <w:left w:val="nil"/>
              <w:bottom w:val="double" w:sz="4" w:space="0" w:color="auto"/>
              <w:right w:val="nil"/>
            </w:tcBorders>
            <w:shd w:val="clear" w:color="auto" w:fill="auto"/>
            <w:noWrap/>
            <w:vAlign w:val="bottom"/>
          </w:tcPr>
          <w:p w14:paraId="7E00D963" w14:textId="77777777" w:rsidR="00111D6B" w:rsidRPr="005B472B" w:rsidRDefault="00111D6B" w:rsidP="0034479B">
            <w:pPr>
              <w:widowControl/>
              <w:autoSpaceDE/>
              <w:autoSpaceDN/>
              <w:jc w:val="center"/>
              <w:rPr>
                <w:color w:val="000000"/>
              </w:rPr>
            </w:pPr>
          </w:p>
        </w:tc>
        <w:tc>
          <w:tcPr>
            <w:tcW w:w="1033" w:type="pct"/>
            <w:tcBorders>
              <w:top w:val="double" w:sz="4" w:space="0" w:color="auto"/>
              <w:left w:val="nil"/>
              <w:bottom w:val="double" w:sz="4" w:space="0" w:color="auto"/>
              <w:right w:val="nil"/>
            </w:tcBorders>
            <w:shd w:val="clear" w:color="auto" w:fill="auto"/>
            <w:noWrap/>
            <w:vAlign w:val="bottom"/>
          </w:tcPr>
          <w:p w14:paraId="01A0A4F4" w14:textId="77777777" w:rsidR="00111D6B" w:rsidRPr="005B472B" w:rsidRDefault="00111D6B" w:rsidP="0034479B">
            <w:pPr>
              <w:widowControl/>
              <w:autoSpaceDE/>
              <w:autoSpaceDN/>
              <w:rPr>
                <w:color w:val="000000"/>
              </w:rPr>
            </w:pPr>
          </w:p>
        </w:tc>
        <w:tc>
          <w:tcPr>
            <w:tcW w:w="1033" w:type="pct"/>
            <w:tcBorders>
              <w:top w:val="double" w:sz="4" w:space="0" w:color="auto"/>
              <w:left w:val="nil"/>
              <w:bottom w:val="double" w:sz="4" w:space="0" w:color="auto"/>
            </w:tcBorders>
            <w:shd w:val="clear" w:color="auto" w:fill="auto"/>
            <w:noWrap/>
            <w:vAlign w:val="bottom"/>
          </w:tcPr>
          <w:p w14:paraId="0AE4CD08" w14:textId="77777777" w:rsidR="00111D6B" w:rsidRPr="005B472B" w:rsidRDefault="00111D6B" w:rsidP="0034479B">
            <w:pPr>
              <w:widowControl/>
              <w:autoSpaceDE/>
              <w:autoSpaceDN/>
              <w:rPr>
                <w:color w:val="000000"/>
              </w:rPr>
            </w:pPr>
          </w:p>
        </w:tc>
      </w:tr>
      <w:tr w:rsidR="00111D6B" w:rsidRPr="00700FC9" w14:paraId="75A95A82" w14:textId="77777777" w:rsidTr="0034479B">
        <w:tc>
          <w:tcPr>
            <w:tcW w:w="2013" w:type="pct"/>
            <w:tcBorders>
              <w:right w:val="nil"/>
            </w:tcBorders>
            <w:shd w:val="clear" w:color="auto" w:fill="auto"/>
            <w:noWrap/>
            <w:vAlign w:val="center"/>
          </w:tcPr>
          <w:p w14:paraId="6ABD361C" w14:textId="77777777" w:rsidR="00111D6B" w:rsidRDefault="00111D6B" w:rsidP="0034479B">
            <w:pPr>
              <w:widowControl/>
              <w:autoSpaceDE/>
              <w:autoSpaceDN/>
              <w:rPr>
                <w:color w:val="000000"/>
              </w:rPr>
            </w:pPr>
            <w:r>
              <w:rPr>
                <w:color w:val="000000"/>
              </w:rPr>
              <w:t>Moody's Rating</w:t>
            </w:r>
          </w:p>
        </w:tc>
        <w:tc>
          <w:tcPr>
            <w:tcW w:w="921" w:type="pct"/>
            <w:tcBorders>
              <w:left w:val="nil"/>
              <w:right w:val="nil"/>
            </w:tcBorders>
            <w:shd w:val="clear" w:color="auto" w:fill="auto"/>
            <w:noWrap/>
            <w:vAlign w:val="bottom"/>
          </w:tcPr>
          <w:p w14:paraId="77D1C252" w14:textId="77777777" w:rsidR="00111D6B"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4518CCC2"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637409D0"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p>
        </w:tc>
      </w:tr>
      <w:tr w:rsidR="00111D6B" w:rsidRPr="00700FC9" w14:paraId="16306557" w14:textId="77777777" w:rsidTr="0034479B">
        <w:tc>
          <w:tcPr>
            <w:tcW w:w="2013" w:type="pct"/>
            <w:tcBorders>
              <w:right w:val="nil"/>
            </w:tcBorders>
            <w:shd w:val="clear" w:color="auto" w:fill="auto"/>
            <w:noWrap/>
            <w:vAlign w:val="center"/>
            <w:hideMark/>
          </w:tcPr>
          <w:p w14:paraId="7D022748" w14:textId="77777777" w:rsidR="00111D6B" w:rsidRPr="00EB288C" w:rsidRDefault="00111D6B" w:rsidP="0034479B">
            <w:pPr>
              <w:widowControl/>
              <w:autoSpaceDE/>
              <w:autoSpaceDN/>
              <w:rPr>
                <w:color w:val="000000"/>
              </w:rPr>
            </w:pPr>
            <w:r>
              <w:rPr>
                <w:color w:val="000000"/>
              </w:rPr>
              <w:t>Maturity</w:t>
            </w:r>
          </w:p>
        </w:tc>
        <w:tc>
          <w:tcPr>
            <w:tcW w:w="921" w:type="pct"/>
            <w:tcBorders>
              <w:left w:val="nil"/>
              <w:right w:val="nil"/>
            </w:tcBorders>
            <w:shd w:val="clear" w:color="auto" w:fill="auto"/>
            <w:noWrap/>
            <w:vAlign w:val="bottom"/>
          </w:tcPr>
          <w:p w14:paraId="56A9F150"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509B6327"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7437A7E1"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700FC9" w14:paraId="7507BE7D" w14:textId="77777777" w:rsidTr="0034479B">
        <w:tc>
          <w:tcPr>
            <w:tcW w:w="2013" w:type="pct"/>
            <w:tcBorders>
              <w:right w:val="nil"/>
            </w:tcBorders>
            <w:shd w:val="clear" w:color="auto" w:fill="auto"/>
            <w:noWrap/>
            <w:vAlign w:val="bottom"/>
          </w:tcPr>
          <w:p w14:paraId="59AC8528" w14:textId="77777777" w:rsidR="00111D6B" w:rsidRPr="00EB288C" w:rsidRDefault="00111D6B" w:rsidP="0034479B">
            <w:pPr>
              <w:widowControl/>
              <w:autoSpaceDE/>
              <w:autoSpaceDN/>
              <w:rPr>
                <w:color w:val="000000"/>
              </w:rPr>
            </w:pPr>
            <w:r w:rsidRPr="00EB288C">
              <w:rPr>
                <w:color w:val="000000"/>
              </w:rPr>
              <w:t>Duration</w:t>
            </w:r>
          </w:p>
        </w:tc>
        <w:tc>
          <w:tcPr>
            <w:tcW w:w="921" w:type="pct"/>
            <w:tcBorders>
              <w:left w:val="nil"/>
              <w:right w:val="nil"/>
            </w:tcBorders>
            <w:shd w:val="clear" w:color="auto" w:fill="auto"/>
            <w:noWrap/>
            <w:vAlign w:val="bottom"/>
          </w:tcPr>
          <w:p w14:paraId="4A7D4578"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42DEE2B0"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7BAB4876"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700FC9" w14:paraId="7EB2B6ED" w14:textId="77777777" w:rsidTr="0034479B">
        <w:tc>
          <w:tcPr>
            <w:tcW w:w="2013" w:type="pct"/>
            <w:tcBorders>
              <w:right w:val="nil"/>
            </w:tcBorders>
            <w:shd w:val="clear" w:color="auto" w:fill="auto"/>
            <w:noWrap/>
            <w:vAlign w:val="center"/>
          </w:tcPr>
          <w:p w14:paraId="4523C9B4" w14:textId="77777777" w:rsidR="00111D6B" w:rsidRPr="00EB288C" w:rsidRDefault="00111D6B" w:rsidP="0034479B">
            <w:pPr>
              <w:widowControl/>
              <w:autoSpaceDE/>
              <w:autoSpaceDN/>
              <w:rPr>
                <w:color w:val="000000"/>
              </w:rPr>
            </w:pPr>
            <w:r>
              <w:rPr>
                <w:color w:val="000000"/>
              </w:rPr>
              <w:t>Issue Relative Size</w:t>
            </w:r>
          </w:p>
        </w:tc>
        <w:tc>
          <w:tcPr>
            <w:tcW w:w="921" w:type="pct"/>
            <w:tcBorders>
              <w:left w:val="nil"/>
              <w:right w:val="nil"/>
            </w:tcBorders>
            <w:shd w:val="clear" w:color="auto" w:fill="auto"/>
            <w:noWrap/>
            <w:vAlign w:val="bottom"/>
          </w:tcPr>
          <w:p w14:paraId="08FDE7D2"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hint="cs"/>
                <w:color w:val="000000"/>
                <w:rtl/>
                <w14:ligatures w14:val="none"/>
              </w:rPr>
              <w:t>؟</w:t>
            </w:r>
          </w:p>
        </w:tc>
        <w:tc>
          <w:tcPr>
            <w:tcW w:w="1033" w:type="pct"/>
            <w:tcBorders>
              <w:left w:val="nil"/>
              <w:right w:val="nil"/>
            </w:tcBorders>
            <w:shd w:val="clear" w:color="auto" w:fill="auto"/>
            <w:noWrap/>
            <w:vAlign w:val="bottom"/>
          </w:tcPr>
          <w:p w14:paraId="0FB30635"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hint="cs"/>
                <w:color w:val="000000"/>
                <w:rtl/>
                <w14:ligatures w14:val="none"/>
              </w:rPr>
              <w:t>؟</w:t>
            </w:r>
          </w:p>
        </w:tc>
        <w:tc>
          <w:tcPr>
            <w:tcW w:w="1033" w:type="pct"/>
            <w:tcBorders>
              <w:left w:val="nil"/>
            </w:tcBorders>
            <w:shd w:val="clear" w:color="auto" w:fill="auto"/>
            <w:noWrap/>
            <w:vAlign w:val="bottom"/>
          </w:tcPr>
          <w:p w14:paraId="6201EB74"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hint="cs"/>
                <w:color w:val="000000"/>
                <w:rtl/>
                <w14:ligatures w14:val="none"/>
              </w:rPr>
              <w:t>؟</w:t>
            </w:r>
          </w:p>
        </w:tc>
      </w:tr>
      <w:tr w:rsidR="00111D6B" w:rsidRPr="00336FBC" w14:paraId="646B8FAE" w14:textId="77777777" w:rsidTr="0034479B">
        <w:tc>
          <w:tcPr>
            <w:tcW w:w="2013" w:type="pct"/>
            <w:tcBorders>
              <w:right w:val="nil"/>
            </w:tcBorders>
            <w:shd w:val="clear" w:color="auto" w:fill="auto"/>
            <w:noWrap/>
            <w:vAlign w:val="bottom"/>
            <w:hideMark/>
          </w:tcPr>
          <w:p w14:paraId="2920909E" w14:textId="77777777" w:rsidR="00111D6B" w:rsidRPr="00EB288C" w:rsidRDefault="00111D6B" w:rsidP="0034479B">
            <w:pPr>
              <w:widowControl/>
              <w:autoSpaceDE/>
              <w:autoSpaceDN/>
              <w:rPr>
                <w:color w:val="000000"/>
              </w:rPr>
            </w:pPr>
            <w:r w:rsidRPr="00EB288C">
              <w:rPr>
                <w:color w:val="000000"/>
              </w:rPr>
              <w:t>Issuer Size</w:t>
            </w:r>
          </w:p>
        </w:tc>
        <w:tc>
          <w:tcPr>
            <w:tcW w:w="921" w:type="pct"/>
            <w:tcBorders>
              <w:left w:val="nil"/>
              <w:right w:val="nil"/>
            </w:tcBorders>
            <w:shd w:val="clear" w:color="auto" w:fill="auto"/>
            <w:noWrap/>
            <w:vAlign w:val="bottom"/>
          </w:tcPr>
          <w:p w14:paraId="6158D43D"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27D31602"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68000924"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0536B1E1" w14:textId="77777777" w:rsidTr="0034479B">
        <w:tc>
          <w:tcPr>
            <w:tcW w:w="2013" w:type="pct"/>
            <w:tcBorders>
              <w:right w:val="nil"/>
            </w:tcBorders>
            <w:shd w:val="clear" w:color="auto" w:fill="auto"/>
            <w:noWrap/>
            <w:vAlign w:val="bottom"/>
            <w:hideMark/>
          </w:tcPr>
          <w:p w14:paraId="0D73EBBE" w14:textId="77777777" w:rsidR="00111D6B" w:rsidRPr="00EB288C" w:rsidRDefault="00111D6B" w:rsidP="0034479B">
            <w:pPr>
              <w:widowControl/>
              <w:autoSpaceDE/>
              <w:autoSpaceDN/>
              <w:rPr>
                <w:color w:val="000000"/>
              </w:rPr>
            </w:pPr>
            <w:r w:rsidRPr="00EB288C">
              <w:rPr>
                <w:color w:val="000000"/>
              </w:rPr>
              <w:t>Leverage</w:t>
            </w:r>
          </w:p>
        </w:tc>
        <w:tc>
          <w:tcPr>
            <w:tcW w:w="921" w:type="pct"/>
            <w:tcBorders>
              <w:left w:val="nil"/>
              <w:right w:val="nil"/>
            </w:tcBorders>
            <w:shd w:val="clear" w:color="auto" w:fill="auto"/>
            <w:noWrap/>
            <w:vAlign w:val="bottom"/>
          </w:tcPr>
          <w:p w14:paraId="33279039"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0FD49707"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69B2A37C"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75FA0D2F" w14:textId="77777777" w:rsidTr="0034479B">
        <w:tc>
          <w:tcPr>
            <w:tcW w:w="2013" w:type="pct"/>
            <w:tcBorders>
              <w:right w:val="nil"/>
            </w:tcBorders>
            <w:shd w:val="clear" w:color="auto" w:fill="auto"/>
            <w:noWrap/>
            <w:vAlign w:val="bottom"/>
            <w:hideMark/>
          </w:tcPr>
          <w:p w14:paraId="1E52B272" w14:textId="77777777" w:rsidR="00111D6B" w:rsidRPr="00EB288C" w:rsidRDefault="00111D6B" w:rsidP="0034479B">
            <w:pPr>
              <w:widowControl/>
              <w:autoSpaceDE/>
              <w:autoSpaceDN/>
              <w:rPr>
                <w:color w:val="000000"/>
              </w:rPr>
            </w:pPr>
            <w:r w:rsidRPr="00EB288C">
              <w:rPr>
                <w:color w:val="000000"/>
              </w:rPr>
              <w:t>Big4</w:t>
            </w:r>
          </w:p>
        </w:tc>
        <w:tc>
          <w:tcPr>
            <w:tcW w:w="921" w:type="pct"/>
            <w:tcBorders>
              <w:left w:val="nil"/>
              <w:right w:val="nil"/>
            </w:tcBorders>
            <w:shd w:val="clear" w:color="auto" w:fill="auto"/>
            <w:noWrap/>
            <w:vAlign w:val="bottom"/>
          </w:tcPr>
          <w:p w14:paraId="6594919C"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0FA2F17B"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7916AD0F"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33F16DDE" w14:textId="77777777" w:rsidTr="0034479B">
        <w:tc>
          <w:tcPr>
            <w:tcW w:w="2013" w:type="pct"/>
            <w:tcBorders>
              <w:right w:val="nil"/>
            </w:tcBorders>
            <w:shd w:val="clear" w:color="auto" w:fill="auto"/>
            <w:noWrap/>
            <w:vAlign w:val="bottom"/>
            <w:hideMark/>
          </w:tcPr>
          <w:p w14:paraId="14D8C448" w14:textId="77777777" w:rsidR="00111D6B" w:rsidRPr="00EB288C" w:rsidRDefault="00111D6B" w:rsidP="0034479B">
            <w:pPr>
              <w:widowControl/>
              <w:autoSpaceDE/>
              <w:autoSpaceDN/>
              <w:rPr>
                <w:color w:val="000000"/>
              </w:rPr>
            </w:pPr>
            <w:r w:rsidRPr="00EB288C">
              <w:rPr>
                <w:color w:val="000000"/>
              </w:rPr>
              <w:t>Return on Assets</w:t>
            </w:r>
          </w:p>
        </w:tc>
        <w:tc>
          <w:tcPr>
            <w:tcW w:w="921" w:type="pct"/>
            <w:tcBorders>
              <w:left w:val="nil"/>
              <w:right w:val="nil"/>
            </w:tcBorders>
            <w:shd w:val="clear" w:color="auto" w:fill="auto"/>
            <w:noWrap/>
            <w:vAlign w:val="bottom"/>
          </w:tcPr>
          <w:p w14:paraId="5AEEA98A"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10EAF37E"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208BF2E1"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1C2A3925" w14:textId="77777777" w:rsidTr="0034479B">
        <w:tc>
          <w:tcPr>
            <w:tcW w:w="2013" w:type="pct"/>
            <w:tcBorders>
              <w:right w:val="nil"/>
            </w:tcBorders>
            <w:shd w:val="clear" w:color="auto" w:fill="auto"/>
            <w:noWrap/>
            <w:vAlign w:val="bottom"/>
            <w:hideMark/>
          </w:tcPr>
          <w:p w14:paraId="5010A61A" w14:textId="77777777" w:rsidR="00111D6B" w:rsidRPr="00EB288C" w:rsidRDefault="00111D6B" w:rsidP="0034479B">
            <w:pPr>
              <w:widowControl/>
              <w:autoSpaceDE/>
              <w:autoSpaceDN/>
              <w:rPr>
                <w:color w:val="000000"/>
              </w:rPr>
            </w:pPr>
            <w:r w:rsidRPr="00EB288C">
              <w:rPr>
                <w:color w:val="000000"/>
              </w:rPr>
              <w:t>Z-score</w:t>
            </w:r>
          </w:p>
        </w:tc>
        <w:tc>
          <w:tcPr>
            <w:tcW w:w="921" w:type="pct"/>
            <w:tcBorders>
              <w:left w:val="nil"/>
              <w:right w:val="nil"/>
            </w:tcBorders>
            <w:shd w:val="clear" w:color="auto" w:fill="auto"/>
            <w:noWrap/>
            <w:vAlign w:val="bottom"/>
          </w:tcPr>
          <w:p w14:paraId="29C12616"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71DEF062"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10B8CA01" w14:textId="77777777" w:rsidR="00111D6B" w:rsidRPr="00336FB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0927D66B" w14:textId="77777777" w:rsidTr="0034479B">
        <w:tc>
          <w:tcPr>
            <w:tcW w:w="2013" w:type="pct"/>
            <w:tcBorders>
              <w:right w:val="nil"/>
            </w:tcBorders>
            <w:shd w:val="clear" w:color="auto" w:fill="auto"/>
            <w:noWrap/>
            <w:vAlign w:val="center"/>
          </w:tcPr>
          <w:p w14:paraId="1ADEFD70" w14:textId="77777777" w:rsidR="00111D6B" w:rsidRPr="00EB288C" w:rsidRDefault="00111D6B" w:rsidP="0034479B">
            <w:pPr>
              <w:widowControl/>
              <w:autoSpaceDE/>
              <w:autoSpaceDN/>
              <w:rPr>
                <w:color w:val="000000"/>
              </w:rPr>
            </w:pPr>
            <w:r>
              <w:rPr>
                <w:color w:val="000000"/>
              </w:rPr>
              <w:t xml:space="preserve">ESG Combined </w:t>
            </w:r>
          </w:p>
        </w:tc>
        <w:tc>
          <w:tcPr>
            <w:tcW w:w="921" w:type="pct"/>
            <w:tcBorders>
              <w:left w:val="nil"/>
              <w:right w:val="nil"/>
            </w:tcBorders>
            <w:shd w:val="clear" w:color="auto" w:fill="auto"/>
            <w:noWrap/>
            <w:vAlign w:val="bottom"/>
          </w:tcPr>
          <w:p w14:paraId="77AD5F9E" w14:textId="77777777" w:rsidR="00111D6B" w:rsidRPr="00EB288C" w:rsidRDefault="00111D6B" w:rsidP="0034479B">
            <w:pPr>
              <w:widowControl/>
              <w:tabs>
                <w:tab w:val="decimal" w:pos="316"/>
                <w:tab w:val="decimal" w:pos="750"/>
              </w:tabs>
              <w:autoSpaceDE/>
              <w:autoSpaceDN/>
              <w:ind w:left="-75" w:right="245"/>
              <w:jc w:val="center"/>
              <w:rPr>
                <w:rFonts w:asciiTheme="majorBidi" w:hAnsiTheme="majorBidi" w:cstheme="majorBidi"/>
                <w:color w:val="000000"/>
                <w14:ligatures w14:val="none"/>
              </w:rPr>
            </w:pPr>
          </w:p>
        </w:tc>
        <w:tc>
          <w:tcPr>
            <w:tcW w:w="1033" w:type="pct"/>
            <w:tcBorders>
              <w:left w:val="nil"/>
              <w:right w:val="nil"/>
            </w:tcBorders>
            <w:shd w:val="clear" w:color="auto" w:fill="auto"/>
            <w:noWrap/>
            <w:vAlign w:val="bottom"/>
          </w:tcPr>
          <w:p w14:paraId="513A1780"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3CA460F1"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363546AC" w14:textId="77777777" w:rsidTr="0034479B">
        <w:tc>
          <w:tcPr>
            <w:tcW w:w="2013" w:type="pct"/>
            <w:tcBorders>
              <w:right w:val="nil"/>
            </w:tcBorders>
            <w:shd w:val="clear" w:color="auto" w:fill="auto"/>
            <w:noWrap/>
            <w:vAlign w:val="center"/>
          </w:tcPr>
          <w:p w14:paraId="58598AAE" w14:textId="77777777" w:rsidR="00111D6B" w:rsidRPr="00EB288C" w:rsidRDefault="00111D6B" w:rsidP="0034479B">
            <w:pPr>
              <w:widowControl/>
              <w:autoSpaceDE/>
              <w:autoSpaceDN/>
              <w:rPr>
                <w:color w:val="000000"/>
              </w:rPr>
            </w:pPr>
            <w:r>
              <w:rPr>
                <w:color w:val="000000"/>
              </w:rPr>
              <w:t xml:space="preserve">  ESG Controversies *</w:t>
            </w:r>
          </w:p>
        </w:tc>
        <w:tc>
          <w:tcPr>
            <w:tcW w:w="921" w:type="pct"/>
            <w:tcBorders>
              <w:left w:val="nil"/>
              <w:right w:val="nil"/>
            </w:tcBorders>
            <w:shd w:val="clear" w:color="auto" w:fill="auto"/>
            <w:noWrap/>
            <w:vAlign w:val="bottom"/>
          </w:tcPr>
          <w:p w14:paraId="7E2A1DCF" w14:textId="77777777" w:rsidR="00111D6B" w:rsidRPr="00EB288C" w:rsidRDefault="00111D6B" w:rsidP="0034479B">
            <w:pPr>
              <w:widowControl/>
              <w:tabs>
                <w:tab w:val="decimal" w:pos="316"/>
                <w:tab w:val="decimal" w:pos="750"/>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30C67DEB"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49D9739E"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4C47C9ED" w14:textId="77777777" w:rsidTr="0034479B">
        <w:tc>
          <w:tcPr>
            <w:tcW w:w="2013" w:type="pct"/>
            <w:tcBorders>
              <w:right w:val="nil"/>
            </w:tcBorders>
            <w:shd w:val="clear" w:color="auto" w:fill="auto"/>
            <w:noWrap/>
            <w:vAlign w:val="center"/>
          </w:tcPr>
          <w:p w14:paraId="34E4F8E5" w14:textId="77777777" w:rsidR="00111D6B" w:rsidRPr="00EB288C" w:rsidRDefault="00111D6B" w:rsidP="0034479B">
            <w:pPr>
              <w:widowControl/>
              <w:autoSpaceDE/>
              <w:autoSpaceDN/>
              <w:rPr>
                <w:color w:val="000000"/>
              </w:rPr>
            </w:pPr>
            <w:r>
              <w:rPr>
                <w:color w:val="000000"/>
              </w:rPr>
              <w:t xml:space="preserve">  ESG </w:t>
            </w:r>
          </w:p>
        </w:tc>
        <w:tc>
          <w:tcPr>
            <w:tcW w:w="921" w:type="pct"/>
            <w:tcBorders>
              <w:left w:val="nil"/>
              <w:right w:val="nil"/>
            </w:tcBorders>
            <w:shd w:val="clear" w:color="auto" w:fill="auto"/>
            <w:noWrap/>
            <w:vAlign w:val="bottom"/>
          </w:tcPr>
          <w:p w14:paraId="4F2D3CD0" w14:textId="77777777" w:rsidR="00111D6B" w:rsidRPr="00EB288C" w:rsidRDefault="00111D6B" w:rsidP="0034479B">
            <w:pPr>
              <w:widowControl/>
              <w:tabs>
                <w:tab w:val="decimal" w:pos="316"/>
                <w:tab w:val="decimal" w:pos="750"/>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1582C651"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54FEC13B"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38009547" w14:textId="77777777" w:rsidTr="0034479B">
        <w:tc>
          <w:tcPr>
            <w:tcW w:w="2013" w:type="pct"/>
            <w:tcBorders>
              <w:right w:val="nil"/>
            </w:tcBorders>
            <w:shd w:val="clear" w:color="auto" w:fill="auto"/>
            <w:noWrap/>
            <w:vAlign w:val="center"/>
          </w:tcPr>
          <w:p w14:paraId="791A6C99" w14:textId="77777777" w:rsidR="00111D6B" w:rsidRPr="00EB288C" w:rsidRDefault="00111D6B" w:rsidP="0034479B">
            <w:pPr>
              <w:widowControl/>
              <w:autoSpaceDE/>
              <w:autoSpaceDN/>
              <w:rPr>
                <w:color w:val="000000"/>
              </w:rPr>
            </w:pPr>
            <w:r>
              <w:rPr>
                <w:color w:val="000000"/>
              </w:rPr>
              <w:t xml:space="preserve">   - Environment Pillar </w:t>
            </w:r>
          </w:p>
        </w:tc>
        <w:tc>
          <w:tcPr>
            <w:tcW w:w="921" w:type="pct"/>
            <w:tcBorders>
              <w:left w:val="nil"/>
              <w:right w:val="nil"/>
            </w:tcBorders>
            <w:shd w:val="clear" w:color="auto" w:fill="auto"/>
            <w:noWrap/>
            <w:vAlign w:val="bottom"/>
          </w:tcPr>
          <w:p w14:paraId="05C5322E" w14:textId="77777777" w:rsidR="00111D6B" w:rsidRPr="00EB288C" w:rsidRDefault="00111D6B" w:rsidP="0034479B">
            <w:pPr>
              <w:widowControl/>
              <w:tabs>
                <w:tab w:val="decimal" w:pos="316"/>
                <w:tab w:val="decimal" w:pos="750"/>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7922C747"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4643F451"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4CAD6000" w14:textId="77777777" w:rsidTr="0034479B">
        <w:tc>
          <w:tcPr>
            <w:tcW w:w="2013" w:type="pct"/>
            <w:tcBorders>
              <w:right w:val="nil"/>
            </w:tcBorders>
            <w:shd w:val="clear" w:color="auto" w:fill="auto"/>
            <w:noWrap/>
            <w:vAlign w:val="center"/>
          </w:tcPr>
          <w:p w14:paraId="096B9412" w14:textId="77777777" w:rsidR="00111D6B" w:rsidRPr="00EB288C" w:rsidRDefault="00111D6B" w:rsidP="0034479B">
            <w:pPr>
              <w:widowControl/>
              <w:autoSpaceDE/>
              <w:autoSpaceDN/>
              <w:rPr>
                <w:color w:val="000000"/>
              </w:rPr>
            </w:pPr>
            <w:r>
              <w:rPr>
                <w:color w:val="000000"/>
              </w:rPr>
              <w:t xml:space="preserve">   - Social Pillar </w:t>
            </w:r>
          </w:p>
        </w:tc>
        <w:tc>
          <w:tcPr>
            <w:tcW w:w="921" w:type="pct"/>
            <w:tcBorders>
              <w:left w:val="nil"/>
              <w:right w:val="nil"/>
            </w:tcBorders>
            <w:shd w:val="clear" w:color="auto" w:fill="auto"/>
            <w:noWrap/>
            <w:vAlign w:val="bottom"/>
          </w:tcPr>
          <w:p w14:paraId="7F1C30C1" w14:textId="77777777" w:rsidR="00111D6B" w:rsidRPr="00EB288C" w:rsidRDefault="00111D6B" w:rsidP="0034479B">
            <w:pPr>
              <w:widowControl/>
              <w:tabs>
                <w:tab w:val="decimal" w:pos="316"/>
                <w:tab w:val="decimal" w:pos="750"/>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7787617C"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1FB3B82D"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r w:rsidR="00111D6B" w:rsidRPr="00336FBC" w14:paraId="12A79DA7" w14:textId="77777777" w:rsidTr="0034479B">
        <w:tc>
          <w:tcPr>
            <w:tcW w:w="2013" w:type="pct"/>
            <w:tcBorders>
              <w:right w:val="nil"/>
            </w:tcBorders>
            <w:shd w:val="clear" w:color="auto" w:fill="auto"/>
            <w:noWrap/>
            <w:vAlign w:val="center"/>
          </w:tcPr>
          <w:p w14:paraId="3248CF0B" w14:textId="77777777" w:rsidR="00111D6B" w:rsidRPr="00EB288C" w:rsidRDefault="00111D6B" w:rsidP="0034479B">
            <w:pPr>
              <w:widowControl/>
              <w:autoSpaceDE/>
              <w:autoSpaceDN/>
              <w:rPr>
                <w:color w:val="000000"/>
              </w:rPr>
            </w:pPr>
            <w:r>
              <w:rPr>
                <w:color w:val="000000"/>
              </w:rPr>
              <w:t xml:space="preserve">  - Governance Pillar </w:t>
            </w:r>
          </w:p>
        </w:tc>
        <w:tc>
          <w:tcPr>
            <w:tcW w:w="921" w:type="pct"/>
            <w:tcBorders>
              <w:left w:val="nil"/>
              <w:right w:val="nil"/>
            </w:tcBorders>
            <w:shd w:val="clear" w:color="auto" w:fill="auto"/>
            <w:noWrap/>
            <w:vAlign w:val="bottom"/>
          </w:tcPr>
          <w:p w14:paraId="2E3BBA2E" w14:textId="77777777" w:rsidR="00111D6B" w:rsidRPr="00EB288C" w:rsidRDefault="00111D6B" w:rsidP="0034479B">
            <w:pPr>
              <w:widowControl/>
              <w:tabs>
                <w:tab w:val="decimal" w:pos="316"/>
                <w:tab w:val="decimal" w:pos="750"/>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right w:val="nil"/>
            </w:tcBorders>
            <w:shd w:val="clear" w:color="auto" w:fill="auto"/>
            <w:noWrap/>
            <w:vAlign w:val="bottom"/>
          </w:tcPr>
          <w:p w14:paraId="446240BD"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c>
          <w:tcPr>
            <w:tcW w:w="1033" w:type="pct"/>
            <w:tcBorders>
              <w:left w:val="nil"/>
            </w:tcBorders>
            <w:shd w:val="clear" w:color="auto" w:fill="auto"/>
            <w:noWrap/>
            <w:vAlign w:val="bottom"/>
          </w:tcPr>
          <w:p w14:paraId="085A7E30" w14:textId="77777777" w:rsidR="00111D6B" w:rsidRPr="00EB288C" w:rsidRDefault="00111D6B" w:rsidP="0034479B">
            <w:pPr>
              <w:widowControl/>
              <w:tabs>
                <w:tab w:val="decimal" w:pos="316"/>
              </w:tabs>
              <w:autoSpaceDE/>
              <w:autoSpaceDN/>
              <w:ind w:left="-75" w:right="245"/>
              <w:jc w:val="center"/>
              <w:rPr>
                <w:rFonts w:asciiTheme="majorBidi" w:hAnsiTheme="majorBidi" w:cstheme="majorBidi"/>
                <w:color w:val="000000"/>
                <w14:ligatures w14:val="none"/>
              </w:rPr>
            </w:pPr>
            <w:r>
              <w:rPr>
                <w:rFonts w:asciiTheme="majorBidi" w:hAnsiTheme="majorBidi" w:cstheme="majorBidi"/>
                <w:color w:val="000000"/>
                <w14:ligatures w14:val="none"/>
              </w:rPr>
              <w:t>+</w:t>
            </w:r>
          </w:p>
        </w:tc>
      </w:tr>
    </w:tbl>
    <w:p w14:paraId="4357DB92" w14:textId="77777777" w:rsidR="00111D6B" w:rsidRPr="007D1143" w:rsidRDefault="00111D6B" w:rsidP="00111D6B">
      <w:pPr>
        <w:pStyle w:val="NormalWeb"/>
        <w:spacing w:before="0" w:beforeAutospacing="0"/>
        <w:ind w:firstLine="432"/>
        <w:jc w:val="both"/>
        <w:rPr>
          <w:rFonts w:asciiTheme="majorBidi" w:hAnsiTheme="majorBidi" w:cstheme="majorBidi"/>
        </w:rPr>
      </w:pPr>
      <w:r w:rsidRPr="007D1143">
        <w:rPr>
          <w:rFonts w:asciiTheme="majorBidi" w:hAnsiTheme="majorBidi" w:cstheme="majorBidi"/>
        </w:rPr>
        <w:t xml:space="preserve"> </w:t>
      </w:r>
    </w:p>
    <w:p w14:paraId="1C8F49F5" w14:textId="77777777" w:rsidR="00111D6B" w:rsidRDefault="00111D6B" w:rsidP="00111D6B">
      <w:pPr>
        <w:widowControl/>
        <w:autoSpaceDE/>
        <w:autoSpaceDN/>
        <w:jc w:val="center"/>
        <w:rPr>
          <w:b/>
          <w:bCs/>
          <w14:ligatures w14:val="none"/>
        </w:rPr>
      </w:pPr>
    </w:p>
    <w:p w14:paraId="4014EE48" w14:textId="77777777" w:rsidR="00111D6B" w:rsidRDefault="00111D6B" w:rsidP="00111D6B">
      <w:pPr>
        <w:widowControl/>
        <w:autoSpaceDE/>
        <w:autoSpaceDN/>
        <w:jc w:val="center"/>
        <w:rPr>
          <w:b/>
          <w:bCs/>
          <w14:ligatures w14:val="none"/>
        </w:rPr>
      </w:pPr>
    </w:p>
    <w:p w14:paraId="7E06156C" w14:textId="77777777" w:rsidR="00111D6B" w:rsidRDefault="00111D6B" w:rsidP="00111D6B">
      <w:pPr>
        <w:widowControl/>
        <w:autoSpaceDE/>
        <w:autoSpaceDN/>
        <w:jc w:val="center"/>
        <w:rPr>
          <w:b/>
          <w:bCs/>
          <w14:ligatures w14:val="none"/>
        </w:rPr>
      </w:pPr>
    </w:p>
    <w:p w14:paraId="4A70C532" w14:textId="77777777" w:rsidR="00111D6B" w:rsidRDefault="00111D6B" w:rsidP="00111D6B">
      <w:pPr>
        <w:widowControl/>
        <w:autoSpaceDE/>
        <w:autoSpaceDN/>
        <w:jc w:val="center"/>
        <w:rPr>
          <w:b/>
          <w:bCs/>
          <w14:ligatures w14:val="none"/>
        </w:rPr>
      </w:pPr>
    </w:p>
    <w:p w14:paraId="78D3CFAE" w14:textId="77777777" w:rsidR="00912F94" w:rsidRDefault="00912F94" w:rsidP="0027089E">
      <w:pPr>
        <w:adjustRightInd w:val="0"/>
        <w:spacing w:line="480" w:lineRule="auto"/>
        <w:jc w:val="both"/>
        <w:rPr>
          <w:rFonts w:asciiTheme="majorBidi" w:hAnsiTheme="majorBidi" w:cstheme="majorBidi"/>
        </w:rPr>
      </w:pPr>
    </w:p>
    <w:p w14:paraId="55D0B2AA" w14:textId="77777777" w:rsidR="00C22425" w:rsidRDefault="00C22425" w:rsidP="0027089E">
      <w:pPr>
        <w:adjustRightInd w:val="0"/>
        <w:spacing w:line="480" w:lineRule="auto"/>
        <w:jc w:val="both"/>
        <w:rPr>
          <w:rFonts w:asciiTheme="majorBidi" w:hAnsiTheme="majorBidi" w:cstheme="majorBidi"/>
        </w:rPr>
      </w:pPr>
    </w:p>
    <w:p w14:paraId="3BD794BC" w14:textId="77777777" w:rsidR="002F33D4" w:rsidRDefault="002F33D4" w:rsidP="0027089E">
      <w:pPr>
        <w:adjustRightInd w:val="0"/>
        <w:spacing w:line="480" w:lineRule="auto"/>
        <w:jc w:val="both"/>
        <w:rPr>
          <w:rFonts w:asciiTheme="majorBidi" w:hAnsiTheme="majorBidi" w:cstheme="majorBidi"/>
        </w:rPr>
      </w:pPr>
    </w:p>
    <w:p w14:paraId="21E5A10F" w14:textId="77777777" w:rsidR="002F33D4" w:rsidRDefault="002F33D4" w:rsidP="0027089E">
      <w:pPr>
        <w:adjustRightInd w:val="0"/>
        <w:spacing w:line="480" w:lineRule="auto"/>
        <w:jc w:val="both"/>
        <w:rPr>
          <w:rFonts w:asciiTheme="majorBidi" w:hAnsiTheme="majorBidi" w:cstheme="majorBidi"/>
        </w:rPr>
      </w:pPr>
    </w:p>
    <w:p w14:paraId="6F1C8174" w14:textId="77777777" w:rsidR="002F33D4" w:rsidRDefault="002F33D4" w:rsidP="0027089E">
      <w:pPr>
        <w:adjustRightInd w:val="0"/>
        <w:spacing w:line="480" w:lineRule="auto"/>
        <w:jc w:val="both"/>
        <w:rPr>
          <w:rFonts w:asciiTheme="majorBidi" w:hAnsiTheme="majorBidi" w:cstheme="majorBidi"/>
        </w:rPr>
      </w:pPr>
    </w:p>
    <w:p w14:paraId="7B76DC7B" w14:textId="77777777" w:rsidR="002F33D4" w:rsidRDefault="002F33D4" w:rsidP="0027089E">
      <w:pPr>
        <w:adjustRightInd w:val="0"/>
        <w:spacing w:line="480" w:lineRule="auto"/>
        <w:jc w:val="both"/>
        <w:rPr>
          <w:rFonts w:asciiTheme="majorBidi" w:hAnsiTheme="majorBidi" w:cstheme="majorBidi"/>
        </w:rPr>
      </w:pPr>
    </w:p>
    <w:p w14:paraId="73FD302C" w14:textId="77777777" w:rsidR="002F33D4" w:rsidRDefault="002F33D4" w:rsidP="0027089E">
      <w:pPr>
        <w:adjustRightInd w:val="0"/>
        <w:spacing w:line="480" w:lineRule="auto"/>
        <w:jc w:val="both"/>
        <w:rPr>
          <w:rFonts w:asciiTheme="majorBidi" w:hAnsiTheme="majorBidi" w:cstheme="majorBidi"/>
        </w:rPr>
      </w:pPr>
    </w:p>
    <w:p w14:paraId="27701199" w14:textId="77777777" w:rsidR="002F33D4" w:rsidRDefault="002F33D4" w:rsidP="0027089E">
      <w:pPr>
        <w:adjustRightInd w:val="0"/>
        <w:spacing w:line="480" w:lineRule="auto"/>
        <w:jc w:val="both"/>
        <w:rPr>
          <w:rFonts w:asciiTheme="majorBidi" w:hAnsiTheme="majorBidi" w:cstheme="majorBidi"/>
        </w:rPr>
      </w:pPr>
    </w:p>
    <w:p w14:paraId="26FA5E63" w14:textId="77777777" w:rsidR="002F33D4" w:rsidRDefault="002F33D4" w:rsidP="0027089E">
      <w:pPr>
        <w:adjustRightInd w:val="0"/>
        <w:spacing w:line="480" w:lineRule="auto"/>
        <w:jc w:val="both"/>
        <w:rPr>
          <w:rFonts w:asciiTheme="majorBidi" w:hAnsiTheme="majorBidi" w:cstheme="majorBidi"/>
        </w:rPr>
      </w:pPr>
    </w:p>
    <w:p w14:paraId="1F4BA9C4" w14:textId="77777777" w:rsidR="002F33D4" w:rsidRDefault="002F33D4" w:rsidP="0027089E">
      <w:pPr>
        <w:adjustRightInd w:val="0"/>
        <w:spacing w:line="480" w:lineRule="auto"/>
        <w:jc w:val="both"/>
        <w:rPr>
          <w:rFonts w:asciiTheme="majorBidi" w:hAnsiTheme="majorBidi" w:cstheme="majorBidi"/>
        </w:rPr>
      </w:pPr>
    </w:p>
    <w:p w14:paraId="4169F04B" w14:textId="77777777" w:rsidR="002F33D4" w:rsidRDefault="002F33D4" w:rsidP="0027089E">
      <w:pPr>
        <w:adjustRightInd w:val="0"/>
        <w:spacing w:line="480" w:lineRule="auto"/>
        <w:jc w:val="both"/>
        <w:rPr>
          <w:rFonts w:asciiTheme="majorBidi" w:hAnsiTheme="majorBidi" w:cstheme="majorBidi"/>
        </w:rPr>
      </w:pPr>
    </w:p>
    <w:p w14:paraId="2578CC9E" w14:textId="77777777" w:rsidR="002F33D4" w:rsidRDefault="002F33D4" w:rsidP="0027089E">
      <w:pPr>
        <w:adjustRightInd w:val="0"/>
        <w:spacing w:line="480" w:lineRule="auto"/>
        <w:jc w:val="both"/>
        <w:rPr>
          <w:rFonts w:asciiTheme="majorBidi" w:hAnsiTheme="majorBidi" w:cstheme="majorBidi"/>
        </w:rPr>
      </w:pPr>
    </w:p>
    <w:p w14:paraId="4E087BBC" w14:textId="29CCCCAF" w:rsidR="00BC3546" w:rsidRPr="00B67CC0" w:rsidRDefault="00BC3546"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r w:rsidRPr="00B67CC0">
        <w:rPr>
          <w:rFonts w:asciiTheme="majorBidi" w:hAnsiTheme="majorBidi" w:cstheme="majorBidi"/>
          <w:b/>
          <w:bCs/>
          <w:sz w:val="24"/>
          <w:szCs w:val="24"/>
          <w14:ligatures w14:val="none"/>
        </w:rPr>
        <w:lastRenderedPageBreak/>
        <w:t xml:space="preserve">Appendix A: ESG </w:t>
      </w:r>
      <w:r w:rsidR="00D40DF2" w:rsidRPr="00B67CC0">
        <w:rPr>
          <w:rFonts w:asciiTheme="majorBidi" w:hAnsiTheme="majorBidi" w:cstheme="majorBidi"/>
          <w:b/>
          <w:bCs/>
          <w:sz w:val="24"/>
          <w:szCs w:val="24"/>
          <w14:ligatures w14:val="none"/>
        </w:rPr>
        <w:t>D</w:t>
      </w:r>
      <w:r w:rsidRPr="00B67CC0">
        <w:rPr>
          <w:rFonts w:asciiTheme="majorBidi" w:hAnsiTheme="majorBidi" w:cstheme="majorBidi"/>
          <w:b/>
          <w:bCs/>
          <w:sz w:val="24"/>
          <w:szCs w:val="24"/>
          <w14:ligatures w14:val="none"/>
        </w:rPr>
        <w:t>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634"/>
      </w:tblGrid>
      <w:tr w:rsidR="00BC06A9" w:rsidRPr="00B67CC0" w14:paraId="5FDF0DAA" w14:textId="77777777" w:rsidTr="00FF0630">
        <w:tc>
          <w:tcPr>
            <w:tcW w:w="1716" w:type="dxa"/>
            <w:tcBorders>
              <w:top w:val="double" w:sz="4" w:space="0" w:color="auto"/>
              <w:bottom w:val="single" w:sz="4" w:space="0" w:color="auto"/>
            </w:tcBorders>
          </w:tcPr>
          <w:p w14:paraId="66895684" w14:textId="77777777" w:rsidR="00BC06A9" w:rsidRPr="00B67CC0" w:rsidRDefault="00BC06A9" w:rsidP="003F41AE">
            <w:pPr>
              <w:rPr>
                <w:rStyle w:val="Strong"/>
                <w:rFonts w:asciiTheme="majorBidi" w:hAnsiTheme="majorBidi" w:cstheme="majorBidi"/>
                <w:sz w:val="24"/>
                <w:szCs w:val="24"/>
              </w:rPr>
            </w:pPr>
            <w:r w:rsidRPr="00B67CC0">
              <w:rPr>
                <w:rStyle w:val="Strong"/>
                <w:rFonts w:asciiTheme="majorBidi" w:hAnsiTheme="majorBidi" w:cstheme="majorBidi"/>
                <w:sz w:val="24"/>
                <w:szCs w:val="24"/>
              </w:rPr>
              <w:t>Measure</w:t>
            </w:r>
          </w:p>
        </w:tc>
        <w:tc>
          <w:tcPr>
            <w:tcW w:w="7634" w:type="dxa"/>
            <w:tcBorders>
              <w:top w:val="double" w:sz="4" w:space="0" w:color="auto"/>
              <w:bottom w:val="single" w:sz="4" w:space="0" w:color="auto"/>
            </w:tcBorders>
          </w:tcPr>
          <w:p w14:paraId="3DC8EAA8" w14:textId="77777777" w:rsidR="00BC06A9" w:rsidRPr="00B67CC0" w:rsidRDefault="00BC06A9" w:rsidP="003F41AE">
            <w:pPr>
              <w:rPr>
                <w:rFonts w:asciiTheme="majorBidi" w:hAnsiTheme="majorBidi" w:cstheme="majorBidi"/>
                <w:b/>
                <w:bCs/>
                <w:sz w:val="24"/>
                <w:szCs w:val="24"/>
              </w:rPr>
            </w:pPr>
            <w:r w:rsidRPr="00B67CC0">
              <w:rPr>
                <w:rFonts w:asciiTheme="majorBidi" w:hAnsiTheme="majorBidi" w:cstheme="majorBidi"/>
                <w:b/>
                <w:bCs/>
                <w:sz w:val="24"/>
                <w:szCs w:val="24"/>
              </w:rPr>
              <w:t xml:space="preserve">Definition </w:t>
            </w:r>
          </w:p>
        </w:tc>
      </w:tr>
      <w:tr w:rsidR="00BC06A9" w:rsidRPr="00B67CC0" w14:paraId="54DB1FE8" w14:textId="77777777" w:rsidTr="00FF0630">
        <w:tc>
          <w:tcPr>
            <w:tcW w:w="1716" w:type="dxa"/>
            <w:tcBorders>
              <w:top w:val="single" w:sz="4" w:space="0" w:color="auto"/>
              <w:bottom w:val="single" w:sz="4" w:space="0" w:color="auto"/>
            </w:tcBorders>
          </w:tcPr>
          <w:p w14:paraId="0B1C1C69" w14:textId="77777777" w:rsidR="00BC06A9" w:rsidRPr="00B67CC0" w:rsidRDefault="00BC06A9" w:rsidP="003F41AE">
            <w:pPr>
              <w:rPr>
                <w:rStyle w:val="Strong"/>
                <w:rFonts w:asciiTheme="majorBidi" w:hAnsiTheme="majorBidi" w:cstheme="majorBidi"/>
                <w:b w:val="0"/>
                <w:bCs w:val="0"/>
                <w:sz w:val="24"/>
                <w:szCs w:val="24"/>
              </w:rPr>
            </w:pPr>
            <w:r w:rsidRPr="00B67CC0">
              <w:rPr>
                <w:rStyle w:val="Strong"/>
                <w:rFonts w:asciiTheme="majorBidi" w:hAnsiTheme="majorBidi" w:cstheme="majorBidi"/>
                <w:b w:val="0"/>
                <w:bCs w:val="0"/>
                <w:sz w:val="24"/>
                <w:szCs w:val="24"/>
              </w:rPr>
              <w:t>ESG score</w:t>
            </w:r>
          </w:p>
        </w:tc>
        <w:tc>
          <w:tcPr>
            <w:tcW w:w="7634" w:type="dxa"/>
            <w:tcBorders>
              <w:top w:val="single" w:sz="4" w:space="0" w:color="auto"/>
              <w:bottom w:val="single" w:sz="4" w:space="0" w:color="auto"/>
            </w:tcBorders>
            <w:vAlign w:val="bottom"/>
          </w:tcPr>
          <w:p w14:paraId="507A9FF7" w14:textId="77777777" w:rsidR="00BC06A9" w:rsidRPr="00B67CC0" w:rsidRDefault="00BC06A9" w:rsidP="003F41AE">
            <w:pPr>
              <w:jc w:val="both"/>
              <w:rPr>
                <w:rFonts w:asciiTheme="majorBidi" w:hAnsiTheme="majorBidi" w:cstheme="majorBidi"/>
                <w:sz w:val="24"/>
                <w:szCs w:val="24"/>
              </w:rPr>
            </w:pPr>
            <w:r w:rsidRPr="00B67CC0">
              <w:rPr>
                <w:rFonts w:asciiTheme="majorBidi" w:hAnsiTheme="majorBidi" w:cstheme="majorBidi"/>
                <w:sz w:val="24"/>
                <w:szCs w:val="24"/>
              </w:rPr>
              <w:t xml:space="preserve">LSEG captures and calculates over 630 company-level ESG measures, of which a subset of 186 (details in the ESG glossary, available on request) of the most comparable and material per industry, power the overall company assessment and scoring process. </w:t>
            </w:r>
          </w:p>
          <w:p w14:paraId="0B57ACF0" w14:textId="0BA94B69" w:rsidR="00BC06A9" w:rsidRPr="00B67CC0" w:rsidRDefault="00BC06A9" w:rsidP="003F41AE">
            <w:pPr>
              <w:jc w:val="both"/>
              <w:rPr>
                <w:rFonts w:asciiTheme="majorBidi" w:hAnsiTheme="majorBidi" w:cstheme="majorBidi"/>
                <w:sz w:val="24"/>
                <w:szCs w:val="24"/>
              </w:rPr>
            </w:pPr>
            <w:r w:rsidRPr="00B67CC0">
              <w:rPr>
                <w:rFonts w:asciiTheme="majorBidi" w:hAnsiTheme="majorBidi" w:cstheme="majorBidi"/>
                <w:sz w:val="24"/>
                <w:szCs w:val="24"/>
              </w:rPr>
              <w:t xml:space="preserve">These are grouped into </w:t>
            </w:r>
            <w:r w:rsidR="00D40DF2" w:rsidRPr="00B67CC0">
              <w:rPr>
                <w:rFonts w:asciiTheme="majorBidi" w:hAnsiTheme="majorBidi" w:cstheme="majorBidi"/>
                <w:sz w:val="24"/>
                <w:szCs w:val="24"/>
              </w:rPr>
              <w:t>ten</w:t>
            </w:r>
            <w:r w:rsidRPr="00B67CC0">
              <w:rPr>
                <w:rFonts w:asciiTheme="majorBidi" w:hAnsiTheme="majorBidi" w:cstheme="majorBidi"/>
                <w:sz w:val="24"/>
                <w:szCs w:val="24"/>
              </w:rPr>
              <w:t xml:space="preserve"> categories that reformulate the three pillar scores and the final ESG score, which </w:t>
            </w:r>
            <w:r w:rsidR="00D40DF2" w:rsidRPr="00B67CC0">
              <w:rPr>
                <w:rFonts w:asciiTheme="majorBidi" w:hAnsiTheme="majorBidi" w:cstheme="majorBidi"/>
                <w:sz w:val="24"/>
                <w:szCs w:val="24"/>
              </w:rPr>
              <w:t>reflects the company’s ESG performance, commitment, and effectiveness based on publicly reported</w:t>
            </w:r>
            <w:r w:rsidRPr="00B67CC0">
              <w:rPr>
                <w:rFonts w:asciiTheme="majorBidi" w:hAnsiTheme="majorBidi" w:cstheme="majorBidi"/>
                <w:sz w:val="24"/>
                <w:szCs w:val="24"/>
              </w:rPr>
              <w:t xml:space="preserve"> information. </w:t>
            </w:r>
          </w:p>
          <w:p w14:paraId="3D921D5F" w14:textId="25B5D8E2" w:rsidR="00BC06A9" w:rsidRPr="00B67CC0" w:rsidRDefault="00BC06A9" w:rsidP="003F41AE">
            <w:pPr>
              <w:rPr>
                <w:rFonts w:asciiTheme="majorBidi" w:hAnsiTheme="majorBidi" w:cstheme="majorBidi"/>
                <w:sz w:val="24"/>
                <w:szCs w:val="24"/>
              </w:rPr>
            </w:pPr>
            <w:r w:rsidRPr="00B67CC0">
              <w:rPr>
                <w:rFonts w:asciiTheme="majorBidi" w:hAnsiTheme="majorBidi" w:cstheme="majorBidi"/>
                <w:sz w:val="24"/>
                <w:szCs w:val="24"/>
              </w:rPr>
              <w:t>The category scores are rolled up into three pillar scores – environmental, social</w:t>
            </w:r>
            <w:r w:rsidR="00D40DF2" w:rsidRPr="00B67CC0">
              <w:rPr>
                <w:rFonts w:asciiTheme="majorBidi" w:hAnsiTheme="majorBidi" w:cstheme="majorBidi"/>
                <w:sz w:val="24"/>
                <w:szCs w:val="24"/>
              </w:rPr>
              <w:t>,</w:t>
            </w:r>
            <w:r w:rsidRPr="00B67CC0">
              <w:rPr>
                <w:rFonts w:asciiTheme="majorBidi" w:hAnsiTheme="majorBidi" w:cstheme="majorBidi"/>
                <w:sz w:val="24"/>
                <w:szCs w:val="24"/>
              </w:rPr>
              <w:t xml:space="preserve"> and corporate governance. The ESG pillar score is a relative sum of the category weights, which vary per industry for the environmental and social categories. For governance, the weights remain the same across all industries. The pillar weights are </w:t>
            </w:r>
            <w:r w:rsidR="00BB76F7" w:rsidRPr="00B67CC0">
              <w:rPr>
                <w:rFonts w:asciiTheme="majorBidi" w:hAnsiTheme="majorBidi" w:cstheme="majorBidi"/>
              </w:rPr>
              <w:t>normalized</w:t>
            </w:r>
            <w:r w:rsidRPr="00B67CC0">
              <w:rPr>
                <w:rFonts w:asciiTheme="majorBidi" w:hAnsiTheme="majorBidi" w:cstheme="majorBidi"/>
                <w:sz w:val="24"/>
                <w:szCs w:val="24"/>
              </w:rPr>
              <w:t xml:space="preserve"> to percentages ranging between 0 and 100 (for further details, refer to Appendix C on page 19 of </w:t>
            </w:r>
          </w:p>
          <w:p w14:paraId="297DA978" w14:textId="77777777" w:rsidR="00BC06A9" w:rsidRPr="00B67CC0" w:rsidRDefault="00BC06A9" w:rsidP="003F41AE">
            <w:pPr>
              <w:jc w:val="both"/>
              <w:rPr>
                <w:rFonts w:asciiTheme="majorBidi" w:hAnsiTheme="majorBidi" w:cstheme="majorBidi"/>
                <w:sz w:val="24"/>
                <w:szCs w:val="24"/>
              </w:rPr>
            </w:pPr>
            <w:r w:rsidRPr="00B67CC0">
              <w:rPr>
                <w:rFonts w:asciiTheme="majorBidi" w:hAnsiTheme="majorBidi" w:cstheme="majorBidi"/>
                <w:sz w:val="24"/>
                <w:szCs w:val="24"/>
              </w:rPr>
              <w:t>this document).</w:t>
            </w:r>
          </w:p>
        </w:tc>
      </w:tr>
      <w:tr w:rsidR="00BC06A9" w:rsidRPr="00B67CC0" w14:paraId="12123011" w14:textId="77777777" w:rsidTr="00FF0630">
        <w:tc>
          <w:tcPr>
            <w:tcW w:w="1716" w:type="dxa"/>
            <w:tcBorders>
              <w:top w:val="single" w:sz="4" w:space="0" w:color="auto"/>
              <w:bottom w:val="single" w:sz="4" w:space="0" w:color="auto"/>
            </w:tcBorders>
          </w:tcPr>
          <w:p w14:paraId="7563F3C6" w14:textId="77777777" w:rsidR="00BC06A9" w:rsidRPr="00B67CC0" w:rsidRDefault="00BC06A9" w:rsidP="003F41AE">
            <w:pPr>
              <w:rPr>
                <w:rStyle w:val="Strong"/>
                <w:rFonts w:asciiTheme="majorBidi" w:hAnsiTheme="majorBidi" w:cstheme="majorBidi"/>
                <w:b w:val="0"/>
                <w:bCs w:val="0"/>
                <w:sz w:val="24"/>
                <w:szCs w:val="24"/>
              </w:rPr>
            </w:pPr>
            <w:r w:rsidRPr="00B67CC0">
              <w:rPr>
                <w:rStyle w:val="Strong"/>
                <w:rFonts w:asciiTheme="majorBidi" w:hAnsiTheme="majorBidi" w:cstheme="majorBidi"/>
                <w:b w:val="0"/>
                <w:bCs w:val="0"/>
                <w:sz w:val="24"/>
                <w:szCs w:val="24"/>
              </w:rPr>
              <w:t>ESG Combined Score</w:t>
            </w:r>
          </w:p>
        </w:tc>
        <w:tc>
          <w:tcPr>
            <w:tcW w:w="7634" w:type="dxa"/>
            <w:tcBorders>
              <w:top w:val="single" w:sz="4" w:space="0" w:color="auto"/>
              <w:bottom w:val="single" w:sz="4" w:space="0" w:color="auto"/>
            </w:tcBorders>
            <w:vAlign w:val="bottom"/>
          </w:tcPr>
          <w:p w14:paraId="168BF3BC" w14:textId="657FABF2" w:rsidR="00BC06A9" w:rsidRPr="00B67CC0" w:rsidRDefault="00BC06A9" w:rsidP="003F41AE">
            <w:pPr>
              <w:jc w:val="both"/>
              <w:rPr>
                <w:rFonts w:asciiTheme="majorBidi" w:hAnsiTheme="majorBidi" w:cstheme="majorBidi"/>
                <w:sz w:val="24"/>
                <w:szCs w:val="24"/>
              </w:rPr>
            </w:pPr>
            <w:r w:rsidRPr="00B67CC0">
              <w:rPr>
                <w:rFonts w:asciiTheme="majorBidi" w:hAnsiTheme="majorBidi" w:cstheme="majorBidi"/>
                <w:sz w:val="24"/>
                <w:szCs w:val="24"/>
              </w:rPr>
              <w:t xml:space="preserve">ESGC scores provide a rounded and comprehensive </w:t>
            </w:r>
            <w:r w:rsidR="00D40DF2" w:rsidRPr="00B67CC0">
              <w:rPr>
                <w:rFonts w:asciiTheme="majorBidi" w:hAnsiTheme="majorBidi" w:cstheme="majorBidi"/>
                <w:sz w:val="24"/>
                <w:szCs w:val="24"/>
              </w:rPr>
              <w:t>score of a company’s ESG performance</w:t>
            </w:r>
            <w:r w:rsidRPr="00B67CC0">
              <w:rPr>
                <w:rFonts w:asciiTheme="majorBidi" w:hAnsiTheme="majorBidi" w:cstheme="majorBidi"/>
                <w:sz w:val="24"/>
                <w:szCs w:val="24"/>
              </w:rPr>
              <w:t xml:space="preserve"> based on the reported information pertaining to the ESG pillars, with the ESG controversies overlay captured from global media sources. The main objective of this score is to discount the ESG performance score based on negative media stories. It does this by incorporating the impact of significant, material ESG controversies in the overall ESGC score.</w:t>
            </w:r>
          </w:p>
        </w:tc>
      </w:tr>
      <w:tr w:rsidR="00BC06A9" w:rsidRPr="00B67CC0" w14:paraId="34FB869D" w14:textId="77777777" w:rsidTr="00FF0630">
        <w:tc>
          <w:tcPr>
            <w:tcW w:w="1716" w:type="dxa"/>
            <w:tcBorders>
              <w:top w:val="single" w:sz="4" w:space="0" w:color="auto"/>
              <w:bottom w:val="single" w:sz="4" w:space="0" w:color="auto"/>
            </w:tcBorders>
          </w:tcPr>
          <w:p w14:paraId="5ECABB90" w14:textId="77777777" w:rsidR="00BC06A9" w:rsidRPr="00B67CC0" w:rsidRDefault="00BC06A9" w:rsidP="003F41AE">
            <w:pPr>
              <w:rPr>
                <w:rStyle w:val="Strong"/>
                <w:rFonts w:asciiTheme="majorBidi" w:hAnsiTheme="majorBidi" w:cstheme="majorBidi"/>
                <w:b w:val="0"/>
                <w:bCs w:val="0"/>
                <w:sz w:val="24"/>
                <w:szCs w:val="24"/>
              </w:rPr>
            </w:pPr>
            <w:r w:rsidRPr="00B67CC0">
              <w:rPr>
                <w:rStyle w:val="Strong"/>
                <w:rFonts w:asciiTheme="majorBidi" w:hAnsiTheme="majorBidi" w:cstheme="majorBidi"/>
                <w:b w:val="0"/>
                <w:bCs w:val="0"/>
                <w:sz w:val="24"/>
                <w:szCs w:val="24"/>
              </w:rPr>
              <w:t>ESG Controversies</w:t>
            </w:r>
          </w:p>
        </w:tc>
        <w:tc>
          <w:tcPr>
            <w:tcW w:w="7634" w:type="dxa"/>
            <w:tcBorders>
              <w:top w:val="single" w:sz="4" w:space="0" w:color="auto"/>
              <w:bottom w:val="single" w:sz="4" w:space="0" w:color="auto"/>
            </w:tcBorders>
            <w:vAlign w:val="bottom"/>
          </w:tcPr>
          <w:p w14:paraId="228A76C7" w14:textId="04C857DE" w:rsidR="00BC06A9" w:rsidRPr="00B67CC0" w:rsidRDefault="00BC06A9" w:rsidP="003F41AE">
            <w:pPr>
              <w:jc w:val="both"/>
              <w:rPr>
                <w:rFonts w:asciiTheme="majorBidi" w:hAnsiTheme="majorBidi" w:cstheme="majorBidi"/>
                <w:sz w:val="24"/>
                <w:szCs w:val="24"/>
              </w:rPr>
            </w:pPr>
            <w:r w:rsidRPr="00B67CC0">
              <w:rPr>
                <w:rFonts w:asciiTheme="majorBidi" w:hAnsiTheme="majorBidi" w:cstheme="majorBidi"/>
                <w:sz w:val="24"/>
                <w:szCs w:val="24"/>
              </w:rPr>
              <w:t>The ESG controversies score is calculated based on 23 ESG controversy topics. During the year, if a scandal occurs, the company involved is penalized</w:t>
            </w:r>
            <w:r w:rsidR="00D40DF2" w:rsidRPr="00B67CC0">
              <w:rPr>
                <w:rFonts w:asciiTheme="majorBidi" w:hAnsiTheme="majorBidi" w:cstheme="majorBidi"/>
                <w:sz w:val="24"/>
                <w:szCs w:val="24"/>
              </w:rPr>
              <w:t>, affecting</w:t>
            </w:r>
            <w:r w:rsidRPr="00B67CC0">
              <w:rPr>
                <w:rFonts w:asciiTheme="majorBidi" w:hAnsiTheme="majorBidi" w:cstheme="majorBidi"/>
                <w:sz w:val="24"/>
                <w:szCs w:val="24"/>
              </w:rPr>
              <w:t xml:space="preserve"> their overall ESGC score and grading. The impact of the event may still be seen in the following year if there are new developments related to the negative event, for example, lawsuits, ongoing legislation disputes or fines. All new media materials are captured as the controversy progresses. The </w:t>
            </w:r>
            <w:proofErr w:type="gramStart"/>
            <w:r w:rsidRPr="00B67CC0">
              <w:rPr>
                <w:rFonts w:asciiTheme="majorBidi" w:hAnsiTheme="majorBidi" w:cstheme="majorBidi"/>
                <w:sz w:val="24"/>
                <w:szCs w:val="24"/>
              </w:rPr>
              <w:t>controversies</w:t>
            </w:r>
            <w:proofErr w:type="gramEnd"/>
            <w:r w:rsidRPr="00B67CC0">
              <w:rPr>
                <w:rFonts w:asciiTheme="majorBidi" w:hAnsiTheme="majorBidi" w:cstheme="majorBidi"/>
                <w:sz w:val="24"/>
                <w:szCs w:val="24"/>
              </w:rPr>
              <w:t xml:space="preserve"> score also addresses the market cap bias from which large-cap companies suffer, as they attract more media attention than smaller-cap companies.</w:t>
            </w:r>
          </w:p>
        </w:tc>
      </w:tr>
    </w:tbl>
    <w:p w14:paraId="66EE629E" w14:textId="77777777" w:rsidR="000D2528" w:rsidRPr="00B67CC0" w:rsidRDefault="000D2528" w:rsidP="003F41AE">
      <w:pPr>
        <w:rPr>
          <w:rFonts w:asciiTheme="majorBidi" w:hAnsiTheme="majorBidi" w:cstheme="majorBidi"/>
          <w:b/>
          <w:bCs/>
          <w:i/>
          <w:iCs/>
          <w:color w:val="000000"/>
          <w:sz w:val="20"/>
          <w:szCs w:val="20"/>
          <w:shd w:val="clear" w:color="auto" w:fill="FFFFFF"/>
        </w:rPr>
      </w:pPr>
      <w:r w:rsidRPr="00B67CC0">
        <w:rPr>
          <w:rFonts w:asciiTheme="majorBidi" w:hAnsiTheme="majorBidi" w:cstheme="majorBidi"/>
          <w:b/>
          <w:bCs/>
          <w:i/>
          <w:iCs/>
          <w:color w:val="000000"/>
          <w:sz w:val="20"/>
          <w:szCs w:val="20"/>
          <w:shd w:val="clear" w:color="auto" w:fill="FFFFFF"/>
        </w:rPr>
        <w:t xml:space="preserve">Source: </w:t>
      </w:r>
      <w:hyperlink r:id="rId28" w:tgtFrame="_blank" w:history="1">
        <w:r w:rsidRPr="00B67CC0">
          <w:rPr>
            <w:rStyle w:val="Hyperlink"/>
            <w:rFonts w:asciiTheme="majorBidi" w:hAnsiTheme="majorBidi" w:cstheme="majorBidi"/>
            <w:b/>
            <w:bCs/>
            <w:i/>
            <w:iCs/>
            <w:sz w:val="20"/>
            <w:szCs w:val="20"/>
            <w:shd w:val="clear" w:color="auto" w:fill="FFFFFF"/>
          </w:rPr>
          <w:t>LSEG ESG</w:t>
        </w:r>
      </w:hyperlink>
      <w:r w:rsidRPr="00B67CC0">
        <w:rPr>
          <w:rFonts w:asciiTheme="majorBidi" w:hAnsiTheme="majorBidi" w:cstheme="majorBidi"/>
          <w:b/>
          <w:bCs/>
          <w:i/>
          <w:iCs/>
          <w:color w:val="000000"/>
          <w:sz w:val="20"/>
          <w:szCs w:val="20"/>
          <w:shd w:val="clear" w:color="auto" w:fill="FFFFFF"/>
        </w:rPr>
        <w:t xml:space="preserve"> </w:t>
      </w:r>
    </w:p>
    <w:p w14:paraId="2EB8204E" w14:textId="77777777" w:rsidR="00FF0630" w:rsidRPr="00B67CC0" w:rsidRDefault="00FF0630"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11218645" w14:textId="77777777" w:rsidR="00FF0630" w:rsidRPr="00B67CC0" w:rsidRDefault="00FF0630"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0D75A491" w14:textId="77777777" w:rsidR="00FF0630" w:rsidRPr="00B67CC0" w:rsidRDefault="00FF0630"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58BC7676" w14:textId="77777777" w:rsidR="00FF0630" w:rsidRPr="00B67CC0" w:rsidRDefault="00FF0630"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592C60E7" w14:textId="77777777" w:rsidR="00FF0630" w:rsidRPr="00B67CC0" w:rsidRDefault="00FF0630"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717294FC" w14:textId="77777777" w:rsidR="00FF0630" w:rsidRPr="00B67CC0" w:rsidRDefault="00FF0630"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1144BE81" w14:textId="7C43F5CA" w:rsidR="00FF0630" w:rsidRPr="00B67CC0" w:rsidRDefault="00FF0630"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r w:rsidRPr="00B67CC0">
        <w:rPr>
          <w:rFonts w:asciiTheme="majorBidi" w:hAnsiTheme="majorBidi" w:cstheme="majorBidi"/>
          <w:b/>
          <w:bCs/>
          <w:sz w:val="24"/>
          <w:szCs w:val="24"/>
          <w14:ligatures w14:val="none"/>
        </w:rPr>
        <w:lastRenderedPageBreak/>
        <w:t xml:space="preserve">Appendix B: ESG </w:t>
      </w:r>
      <w:r w:rsidRPr="00B67CC0">
        <w:rPr>
          <w:rStyle w:val="Strong"/>
          <w:rFonts w:asciiTheme="majorBidi" w:eastAsiaTheme="majorEastAsia" w:hAnsiTheme="majorBidi" w:cstheme="majorBidi"/>
          <w:sz w:val="24"/>
          <w:szCs w:val="24"/>
        </w:rPr>
        <w:t>Pilla</w:t>
      </w:r>
      <w:r w:rsidRPr="00B67CC0">
        <w:rPr>
          <w:rStyle w:val="Strong"/>
          <w:rFonts w:asciiTheme="majorBidi" w:hAnsiTheme="majorBidi" w:cstheme="majorBidi"/>
          <w:sz w:val="24"/>
          <w:szCs w:val="24"/>
        </w:rPr>
        <w:t>rs</w:t>
      </w:r>
      <w:r w:rsidRPr="00B67CC0">
        <w:rPr>
          <w:rFonts w:asciiTheme="majorBidi" w:hAnsiTheme="majorBidi" w:cstheme="majorBidi"/>
          <w:b/>
          <w:bCs/>
          <w:sz w:val="24"/>
          <w:szCs w:val="24"/>
          <w14:ligatures w14:val="none"/>
        </w:rPr>
        <w:t xml:space="preserve"> </w:t>
      </w:r>
      <w:r w:rsidR="00D40DF2" w:rsidRPr="00B67CC0">
        <w:rPr>
          <w:rFonts w:asciiTheme="majorBidi" w:hAnsiTheme="majorBidi" w:cstheme="majorBidi"/>
          <w:b/>
          <w:bCs/>
          <w:sz w:val="24"/>
          <w:szCs w:val="24"/>
          <w14:ligatures w14:val="none"/>
        </w:rPr>
        <w:t>D</w:t>
      </w:r>
      <w:r w:rsidRPr="00B67CC0">
        <w:rPr>
          <w:rFonts w:asciiTheme="majorBidi" w:hAnsiTheme="majorBidi" w:cstheme="majorBidi"/>
          <w:b/>
          <w:bCs/>
          <w:sz w:val="24"/>
          <w:szCs w:val="24"/>
          <w14:ligatures w14:val="none"/>
        </w:rPr>
        <w:t>efinitions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16"/>
        <w:gridCol w:w="7634"/>
      </w:tblGrid>
      <w:tr w:rsidR="00FF6508" w:rsidRPr="00B67CC0" w14:paraId="6AAE70EC" w14:textId="77777777" w:rsidTr="00FF0630">
        <w:tc>
          <w:tcPr>
            <w:tcW w:w="1716" w:type="dxa"/>
            <w:tcBorders>
              <w:top w:val="double" w:sz="4" w:space="0" w:color="auto"/>
            </w:tcBorders>
            <w:vAlign w:val="center"/>
          </w:tcPr>
          <w:p w14:paraId="60189C2F" w14:textId="77777777" w:rsidR="00FF6508" w:rsidRPr="00B67CC0" w:rsidRDefault="00FF6508" w:rsidP="003F41AE">
            <w:pPr>
              <w:rPr>
                <w:rStyle w:val="Strong"/>
                <w:rFonts w:asciiTheme="majorBidi" w:hAnsiTheme="majorBidi" w:cstheme="majorBidi"/>
                <w:sz w:val="24"/>
                <w:szCs w:val="24"/>
              </w:rPr>
            </w:pPr>
            <w:r w:rsidRPr="00B67CC0">
              <w:rPr>
                <w:rStyle w:val="Strong"/>
                <w:rFonts w:asciiTheme="majorBidi" w:eastAsiaTheme="majorEastAsia" w:hAnsiTheme="majorBidi" w:cstheme="majorBidi"/>
                <w:sz w:val="24"/>
                <w:szCs w:val="24"/>
              </w:rPr>
              <w:t>Pilla</w:t>
            </w:r>
            <w:r w:rsidRPr="00B67CC0">
              <w:rPr>
                <w:rStyle w:val="Strong"/>
                <w:rFonts w:asciiTheme="majorBidi" w:hAnsiTheme="majorBidi" w:cstheme="majorBidi"/>
                <w:sz w:val="24"/>
                <w:szCs w:val="24"/>
              </w:rPr>
              <w:t>rs</w:t>
            </w:r>
          </w:p>
        </w:tc>
        <w:tc>
          <w:tcPr>
            <w:tcW w:w="7634" w:type="dxa"/>
            <w:tcBorders>
              <w:top w:val="double" w:sz="4" w:space="0" w:color="auto"/>
            </w:tcBorders>
          </w:tcPr>
          <w:p w14:paraId="2B2CA479" w14:textId="76E4F65D" w:rsidR="00FF6508" w:rsidRPr="00B67CC0" w:rsidRDefault="00FF6508" w:rsidP="003F41AE">
            <w:pPr>
              <w:rPr>
                <w:rFonts w:asciiTheme="majorBidi" w:hAnsiTheme="majorBidi" w:cstheme="majorBidi"/>
                <w:b/>
                <w:bCs/>
                <w:sz w:val="24"/>
                <w:szCs w:val="24"/>
              </w:rPr>
            </w:pPr>
            <w:r w:rsidRPr="00B67CC0">
              <w:rPr>
                <w:rFonts w:asciiTheme="majorBidi" w:hAnsiTheme="majorBidi" w:cstheme="majorBidi"/>
                <w:b/>
                <w:bCs/>
                <w:sz w:val="24"/>
                <w:szCs w:val="24"/>
              </w:rPr>
              <w:t xml:space="preserve"> </w:t>
            </w:r>
            <w:r w:rsidR="00FF0630" w:rsidRPr="00B67CC0">
              <w:rPr>
                <w:rFonts w:asciiTheme="majorBidi" w:hAnsiTheme="majorBidi" w:cstheme="majorBidi"/>
                <w:b/>
                <w:bCs/>
                <w:sz w:val="24"/>
                <w:szCs w:val="24"/>
              </w:rPr>
              <w:t>Definition</w:t>
            </w:r>
          </w:p>
        </w:tc>
      </w:tr>
      <w:tr w:rsidR="00FF6508" w:rsidRPr="00B67CC0" w14:paraId="3D67A0D2" w14:textId="77777777" w:rsidTr="00FF0630">
        <w:tc>
          <w:tcPr>
            <w:tcW w:w="1716" w:type="dxa"/>
          </w:tcPr>
          <w:p w14:paraId="412F0C10" w14:textId="77777777" w:rsidR="00FF6508" w:rsidRPr="00B67CC0" w:rsidRDefault="00FF6508" w:rsidP="003F41AE">
            <w:pPr>
              <w:pStyle w:val="NormalWeb"/>
              <w:rPr>
                <w:rStyle w:val="Strong"/>
                <w:rFonts w:asciiTheme="majorBidi" w:eastAsiaTheme="minorHAnsi" w:hAnsiTheme="majorBidi" w:cstheme="majorBidi"/>
                <w:b w:val="0"/>
                <w:bCs w:val="0"/>
                <w:kern w:val="2"/>
              </w:rPr>
            </w:pPr>
            <w:r w:rsidRPr="00B67CC0">
              <w:rPr>
                <w:rStyle w:val="Strong"/>
                <w:rFonts w:asciiTheme="majorBidi" w:eastAsiaTheme="minorHAnsi" w:hAnsiTheme="majorBidi" w:cstheme="majorBidi"/>
                <w:b w:val="0"/>
                <w:bCs w:val="0"/>
                <w:kern w:val="2"/>
              </w:rPr>
              <w:t xml:space="preserve">Environmental </w:t>
            </w:r>
          </w:p>
          <w:p w14:paraId="44EEA518" w14:textId="77777777" w:rsidR="00FF6508" w:rsidRPr="00B67CC0" w:rsidRDefault="00FF6508" w:rsidP="003F41AE">
            <w:pPr>
              <w:pStyle w:val="NormalWeb"/>
              <w:rPr>
                <w:rStyle w:val="Strong"/>
                <w:rFonts w:asciiTheme="majorBidi" w:eastAsiaTheme="minorHAnsi" w:hAnsiTheme="majorBidi" w:cstheme="majorBidi"/>
                <w:b w:val="0"/>
                <w:bCs w:val="0"/>
                <w:kern w:val="2"/>
              </w:rPr>
            </w:pPr>
          </w:p>
        </w:tc>
        <w:tc>
          <w:tcPr>
            <w:tcW w:w="7634" w:type="dxa"/>
          </w:tcPr>
          <w:p w14:paraId="1240570C" w14:textId="56394B74" w:rsidR="00FF6508" w:rsidRPr="00B67CC0" w:rsidRDefault="00FF6508" w:rsidP="003F41AE">
            <w:pPr>
              <w:rPr>
                <w:rFonts w:asciiTheme="majorBidi" w:hAnsiTheme="majorBidi" w:cstheme="majorBidi"/>
                <w:sz w:val="24"/>
                <w:szCs w:val="24"/>
              </w:rPr>
            </w:pPr>
            <w:r w:rsidRPr="00B67CC0">
              <w:rPr>
                <w:rFonts w:asciiTheme="majorBidi" w:hAnsiTheme="majorBidi" w:cstheme="majorBidi"/>
                <w:sz w:val="24"/>
                <w:szCs w:val="24"/>
              </w:rPr>
              <w:t xml:space="preserve">The score is calculated using around </w:t>
            </w:r>
            <w:r w:rsidRPr="00B67CC0">
              <w:rPr>
                <w:rStyle w:val="Strong"/>
                <w:rFonts w:asciiTheme="majorBidi" w:eastAsiaTheme="majorEastAsia" w:hAnsiTheme="majorBidi" w:cstheme="majorBidi"/>
                <w:b w:val="0"/>
                <w:bCs w:val="0"/>
                <w:sz w:val="24"/>
                <w:szCs w:val="24"/>
              </w:rPr>
              <w:t>68 key performance indicators (KPIs)</w:t>
            </w:r>
            <w:r w:rsidRPr="00B67CC0">
              <w:rPr>
                <w:rFonts w:asciiTheme="majorBidi" w:hAnsiTheme="majorBidi" w:cstheme="majorBidi"/>
                <w:sz w:val="24"/>
                <w:szCs w:val="24"/>
              </w:rPr>
              <w:t xml:space="preserve"> based on three major categories:</w:t>
            </w:r>
          </w:p>
          <w:p w14:paraId="49582C38" w14:textId="69B4998A"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 xml:space="preserve">LSEG ESG resource use score (20 </w:t>
            </w:r>
            <w:r w:rsidR="00D40DF2" w:rsidRPr="00B67CC0">
              <w:rPr>
                <w:rFonts w:asciiTheme="majorBidi" w:hAnsiTheme="majorBidi" w:cstheme="majorBidi"/>
                <w:sz w:val="24"/>
                <w:szCs w:val="24"/>
              </w:rPr>
              <w:t>indicators) reflects</w:t>
            </w:r>
            <w:r w:rsidRPr="00B67CC0">
              <w:rPr>
                <w:rFonts w:asciiTheme="majorBidi" w:hAnsiTheme="majorBidi" w:cstheme="majorBidi"/>
                <w:sz w:val="24"/>
                <w:szCs w:val="24"/>
              </w:rPr>
              <w:t xml:space="preserve"> a company’s performance and capacity to reduce the use of materials, energy, or water and to find more eco-efficient solutions by improving supply chain management.</w:t>
            </w:r>
          </w:p>
          <w:p w14:paraId="56A53769" w14:textId="0EB04693"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 xml:space="preserve">LSEG ESG emissions reduction score (28 </w:t>
            </w:r>
            <w:r w:rsidR="00D40DF2" w:rsidRPr="00B67CC0">
              <w:rPr>
                <w:rFonts w:asciiTheme="majorBidi" w:hAnsiTheme="majorBidi" w:cstheme="majorBidi"/>
                <w:sz w:val="24"/>
                <w:szCs w:val="24"/>
              </w:rPr>
              <w:t>indicators) measures</w:t>
            </w:r>
            <w:r w:rsidRPr="00B67CC0">
              <w:rPr>
                <w:rFonts w:asciiTheme="majorBidi" w:hAnsiTheme="majorBidi" w:cstheme="majorBidi"/>
                <w:sz w:val="24"/>
                <w:szCs w:val="24"/>
              </w:rPr>
              <w:t xml:space="preserve"> a company’s commitment and effectiveness towards reducing environmental emissions in its production and operational processes.</w:t>
            </w:r>
          </w:p>
          <w:p w14:paraId="1B4B9389" w14:textId="1B90376B"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LSEG ESG innovation score (20 indicators) reflects a company’s capacity to reduce environmental costs and burdens for its customers, thereby creating new market opportunities through new environmental technologies and processes or eco-designed products.</w:t>
            </w:r>
          </w:p>
        </w:tc>
      </w:tr>
      <w:tr w:rsidR="00FF6508" w:rsidRPr="00B67CC0" w14:paraId="371EE7E3" w14:textId="77777777" w:rsidTr="00FF0630">
        <w:tc>
          <w:tcPr>
            <w:tcW w:w="1716" w:type="dxa"/>
          </w:tcPr>
          <w:p w14:paraId="4B917F04" w14:textId="77777777" w:rsidR="00FF6508" w:rsidRPr="00B67CC0" w:rsidRDefault="00FF6508" w:rsidP="003F41AE">
            <w:pPr>
              <w:pStyle w:val="NormalWeb"/>
              <w:rPr>
                <w:rStyle w:val="Strong"/>
                <w:rFonts w:asciiTheme="majorBidi" w:eastAsiaTheme="minorHAnsi" w:hAnsiTheme="majorBidi" w:cstheme="majorBidi"/>
                <w:b w:val="0"/>
                <w:bCs w:val="0"/>
                <w:kern w:val="2"/>
              </w:rPr>
            </w:pPr>
            <w:r w:rsidRPr="00B67CC0">
              <w:rPr>
                <w:rStyle w:val="Strong"/>
                <w:rFonts w:asciiTheme="majorBidi" w:eastAsiaTheme="minorHAnsi" w:hAnsiTheme="majorBidi" w:cstheme="majorBidi"/>
                <w:b w:val="0"/>
                <w:bCs w:val="0"/>
                <w:kern w:val="2"/>
              </w:rPr>
              <w:t xml:space="preserve">Social </w:t>
            </w:r>
          </w:p>
          <w:p w14:paraId="27C2976B" w14:textId="77777777" w:rsidR="00FF6508" w:rsidRPr="00B67CC0" w:rsidRDefault="00FF6508" w:rsidP="003F41AE">
            <w:pPr>
              <w:pStyle w:val="NormalWeb"/>
              <w:rPr>
                <w:rStyle w:val="Strong"/>
                <w:rFonts w:asciiTheme="majorBidi" w:eastAsiaTheme="minorHAnsi" w:hAnsiTheme="majorBidi" w:cstheme="majorBidi"/>
                <w:b w:val="0"/>
                <w:bCs w:val="0"/>
                <w:kern w:val="2"/>
              </w:rPr>
            </w:pPr>
          </w:p>
        </w:tc>
        <w:tc>
          <w:tcPr>
            <w:tcW w:w="7634" w:type="dxa"/>
          </w:tcPr>
          <w:p w14:paraId="6F37AAFA" w14:textId="67E1ECA8" w:rsidR="00FF6508" w:rsidRPr="00B67CC0" w:rsidRDefault="00FF6508" w:rsidP="003F41AE">
            <w:pPr>
              <w:ind w:left="-14"/>
              <w:jc w:val="both"/>
              <w:rPr>
                <w:rFonts w:asciiTheme="majorBidi" w:hAnsiTheme="majorBidi" w:cstheme="majorBidi"/>
                <w:sz w:val="24"/>
                <w:szCs w:val="24"/>
              </w:rPr>
            </w:pPr>
            <w:r w:rsidRPr="00B67CC0">
              <w:rPr>
                <w:rFonts w:asciiTheme="majorBidi" w:hAnsiTheme="majorBidi" w:cstheme="majorBidi"/>
                <w:sz w:val="24"/>
                <w:szCs w:val="24"/>
              </w:rPr>
              <w:t xml:space="preserve">This pillar is evaluated based on </w:t>
            </w:r>
            <w:r w:rsidRPr="00B67CC0">
              <w:rPr>
                <w:rFonts w:asciiTheme="majorBidi" w:eastAsiaTheme="majorEastAsia" w:hAnsiTheme="majorBidi" w:cstheme="majorBidi"/>
                <w:sz w:val="24"/>
                <w:szCs w:val="24"/>
              </w:rPr>
              <w:t>62 KPIs</w:t>
            </w:r>
            <w:r w:rsidRPr="00B67CC0">
              <w:rPr>
                <w:rFonts w:asciiTheme="majorBidi" w:hAnsiTheme="majorBidi" w:cstheme="majorBidi"/>
                <w:sz w:val="24"/>
                <w:szCs w:val="24"/>
              </w:rPr>
              <w:t xml:space="preserve"> based on three major </w:t>
            </w:r>
            <w:r w:rsidR="00D40DF2" w:rsidRPr="00B67CC0">
              <w:rPr>
                <w:rFonts w:asciiTheme="majorBidi" w:hAnsiTheme="majorBidi" w:cstheme="majorBidi"/>
                <w:sz w:val="24"/>
                <w:szCs w:val="24"/>
              </w:rPr>
              <w:t>categories:</w:t>
            </w:r>
          </w:p>
          <w:p w14:paraId="45A7211F" w14:textId="0E3E42A4"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 xml:space="preserve">LSEG ESG workforce score (30 indicators) measures a company’s effectiveness in </w:t>
            </w:r>
            <w:r w:rsidR="00D40DF2" w:rsidRPr="00B67CC0">
              <w:rPr>
                <w:rFonts w:asciiTheme="majorBidi" w:hAnsiTheme="majorBidi" w:cstheme="majorBidi"/>
                <w:sz w:val="24"/>
                <w:szCs w:val="24"/>
              </w:rPr>
              <w:t>providing job satisfaction, a healthy and safe workplace, maintaining diversity and equal opportunities, and developing</w:t>
            </w:r>
            <w:r w:rsidRPr="00B67CC0">
              <w:rPr>
                <w:rFonts w:asciiTheme="majorBidi" w:hAnsiTheme="majorBidi" w:cstheme="majorBidi"/>
                <w:sz w:val="24"/>
                <w:szCs w:val="24"/>
              </w:rPr>
              <w:t xml:space="preserve"> opportunities for its workforce.</w:t>
            </w:r>
          </w:p>
          <w:p w14:paraId="37AE761B" w14:textId="3426FBB2"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LSEG ESG human rights score</w:t>
            </w:r>
            <w:r w:rsidR="00D40DF2" w:rsidRPr="00B67CC0">
              <w:rPr>
                <w:rFonts w:asciiTheme="majorBidi" w:hAnsiTheme="majorBidi" w:cstheme="majorBidi"/>
                <w:sz w:val="24"/>
                <w:szCs w:val="24"/>
              </w:rPr>
              <w:t xml:space="preserve"> </w:t>
            </w:r>
            <w:r w:rsidRPr="00B67CC0">
              <w:rPr>
                <w:rFonts w:asciiTheme="majorBidi" w:hAnsiTheme="majorBidi" w:cstheme="majorBidi"/>
                <w:sz w:val="24"/>
                <w:szCs w:val="24"/>
              </w:rPr>
              <w:t>(8 indicators) measures a company’s effectiveness in terms of respecting fundamental human rights conventions.</w:t>
            </w:r>
          </w:p>
          <w:p w14:paraId="3AF5CD77" w14:textId="5366FD43"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LSEG ESG community score (14 indicators)</w:t>
            </w:r>
            <w:r w:rsidR="00D40DF2" w:rsidRPr="00B67CC0">
              <w:rPr>
                <w:rFonts w:asciiTheme="majorBidi" w:hAnsiTheme="majorBidi" w:cstheme="majorBidi"/>
                <w:sz w:val="24"/>
                <w:szCs w:val="24"/>
              </w:rPr>
              <w:t xml:space="preserve"> </w:t>
            </w:r>
            <w:r w:rsidRPr="00B67CC0">
              <w:rPr>
                <w:rFonts w:asciiTheme="majorBidi" w:hAnsiTheme="majorBidi" w:cstheme="majorBidi"/>
                <w:sz w:val="24"/>
                <w:szCs w:val="24"/>
              </w:rPr>
              <w:t>measures the company’s commitment to being a good citizen, protecting public health</w:t>
            </w:r>
            <w:r w:rsidR="00D40DF2" w:rsidRPr="00B67CC0">
              <w:rPr>
                <w:rFonts w:asciiTheme="majorBidi" w:hAnsiTheme="majorBidi" w:cstheme="majorBidi"/>
                <w:sz w:val="24"/>
                <w:szCs w:val="24"/>
              </w:rPr>
              <w:t>,</w:t>
            </w:r>
            <w:r w:rsidRPr="00B67CC0">
              <w:rPr>
                <w:rFonts w:asciiTheme="majorBidi" w:hAnsiTheme="majorBidi" w:cstheme="majorBidi"/>
                <w:sz w:val="24"/>
                <w:szCs w:val="24"/>
              </w:rPr>
              <w:t xml:space="preserve"> and respecting business ethics.</w:t>
            </w:r>
          </w:p>
          <w:p w14:paraId="02D8180A" w14:textId="77777777"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LSEG ESG product responsibility score (10 indicators)</w:t>
            </w:r>
            <w:r w:rsidRPr="00B67CC0">
              <w:rPr>
                <w:rFonts w:asciiTheme="majorBidi" w:hAnsiTheme="majorBidi" w:cstheme="majorBidi"/>
                <w:sz w:val="24"/>
                <w:szCs w:val="24"/>
              </w:rPr>
              <w:tab/>
              <w:t>The product responsibility score reflects a company’s capacity to produce quality goods and services, integrating the customer’s health and safety, integrity, and data privacy.</w:t>
            </w:r>
          </w:p>
        </w:tc>
      </w:tr>
      <w:tr w:rsidR="00FF6508" w:rsidRPr="00B67CC0" w14:paraId="2B074B4A" w14:textId="77777777" w:rsidTr="00FF0630">
        <w:tc>
          <w:tcPr>
            <w:tcW w:w="1716" w:type="dxa"/>
          </w:tcPr>
          <w:p w14:paraId="37B2C868" w14:textId="77777777" w:rsidR="00FF6508" w:rsidRPr="00B67CC0" w:rsidRDefault="00FF6508" w:rsidP="003F41AE">
            <w:pPr>
              <w:pStyle w:val="NormalWeb"/>
              <w:rPr>
                <w:rStyle w:val="Strong"/>
                <w:rFonts w:asciiTheme="majorBidi" w:eastAsiaTheme="minorHAnsi" w:hAnsiTheme="majorBidi" w:cstheme="majorBidi"/>
                <w:b w:val="0"/>
                <w:bCs w:val="0"/>
                <w:kern w:val="2"/>
              </w:rPr>
            </w:pPr>
            <w:r w:rsidRPr="00B67CC0">
              <w:rPr>
                <w:rStyle w:val="Strong"/>
                <w:rFonts w:asciiTheme="majorBidi" w:eastAsiaTheme="minorHAnsi" w:hAnsiTheme="majorBidi" w:cstheme="majorBidi"/>
                <w:b w:val="0"/>
                <w:bCs w:val="0"/>
                <w:kern w:val="2"/>
              </w:rPr>
              <w:t xml:space="preserve">Governance </w:t>
            </w:r>
          </w:p>
          <w:p w14:paraId="60BF1F90" w14:textId="77777777" w:rsidR="00FF6508" w:rsidRPr="00B67CC0" w:rsidRDefault="00FF6508" w:rsidP="003F41AE">
            <w:pPr>
              <w:rPr>
                <w:rStyle w:val="Strong"/>
                <w:rFonts w:asciiTheme="majorBidi" w:hAnsiTheme="majorBidi" w:cstheme="majorBidi"/>
                <w:b w:val="0"/>
                <w:bCs w:val="0"/>
                <w:sz w:val="24"/>
                <w:szCs w:val="24"/>
              </w:rPr>
            </w:pPr>
          </w:p>
        </w:tc>
        <w:tc>
          <w:tcPr>
            <w:tcW w:w="7634" w:type="dxa"/>
          </w:tcPr>
          <w:p w14:paraId="1F2AB2BA" w14:textId="77777777" w:rsidR="00FF6508" w:rsidRPr="00B67CC0" w:rsidRDefault="00FF6508" w:rsidP="003F41AE">
            <w:pPr>
              <w:rPr>
                <w:rFonts w:asciiTheme="majorBidi" w:hAnsiTheme="majorBidi" w:cstheme="majorBidi"/>
                <w:sz w:val="24"/>
                <w:szCs w:val="24"/>
              </w:rPr>
            </w:pPr>
            <w:r w:rsidRPr="00B67CC0">
              <w:rPr>
                <w:rFonts w:asciiTheme="majorBidi" w:hAnsiTheme="majorBidi" w:cstheme="majorBidi"/>
                <w:sz w:val="24"/>
                <w:szCs w:val="24"/>
              </w:rPr>
              <w:t xml:space="preserve">The governance score is derived from </w:t>
            </w:r>
            <w:r w:rsidRPr="00B67CC0">
              <w:rPr>
                <w:rStyle w:val="Strong"/>
                <w:rFonts w:asciiTheme="majorBidi" w:eastAsiaTheme="majorEastAsia" w:hAnsiTheme="majorBidi" w:cstheme="majorBidi"/>
                <w:b w:val="0"/>
                <w:bCs w:val="0"/>
                <w:sz w:val="24"/>
                <w:szCs w:val="24"/>
              </w:rPr>
              <w:t>56 KPIs</w:t>
            </w:r>
            <w:r w:rsidRPr="00B67CC0">
              <w:rPr>
                <w:rFonts w:asciiTheme="majorBidi" w:hAnsiTheme="majorBidi" w:cstheme="majorBidi"/>
                <w:sz w:val="24"/>
                <w:szCs w:val="24"/>
              </w:rPr>
              <w:t xml:space="preserve"> based on three major categories: </w:t>
            </w:r>
          </w:p>
          <w:p w14:paraId="44175420" w14:textId="0B4FCE9B"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LSEG ESG management score</w:t>
            </w:r>
            <w:r w:rsidRPr="00B67CC0">
              <w:rPr>
                <w:rFonts w:asciiTheme="majorBidi" w:hAnsiTheme="majorBidi" w:cstheme="majorBidi"/>
                <w:sz w:val="24"/>
                <w:szCs w:val="24"/>
              </w:rPr>
              <w:tab/>
              <w:t>(35 indicators)</w:t>
            </w:r>
            <w:r w:rsidR="00D40DF2" w:rsidRPr="00B67CC0">
              <w:rPr>
                <w:rFonts w:asciiTheme="majorBidi" w:hAnsiTheme="majorBidi" w:cstheme="majorBidi"/>
                <w:sz w:val="24"/>
                <w:szCs w:val="24"/>
              </w:rPr>
              <w:t xml:space="preserve"> </w:t>
            </w:r>
            <w:r w:rsidRPr="00B67CC0">
              <w:rPr>
                <w:rFonts w:asciiTheme="majorBidi" w:hAnsiTheme="majorBidi" w:cstheme="majorBidi"/>
                <w:sz w:val="24"/>
                <w:szCs w:val="24"/>
              </w:rPr>
              <w:t>measures a company’s commitment and effectiveness towards following best practice corporate governance principles.</w:t>
            </w:r>
          </w:p>
          <w:p w14:paraId="4E031F33" w14:textId="77777777"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LSEG ESG shareholders score</w:t>
            </w:r>
            <w:r w:rsidRPr="00B67CC0">
              <w:rPr>
                <w:rFonts w:asciiTheme="majorBidi" w:hAnsiTheme="majorBidi" w:cstheme="majorBidi"/>
                <w:sz w:val="24"/>
                <w:szCs w:val="24"/>
              </w:rPr>
              <w:tab/>
              <w:t>(12 indicators) measures a company’s effectiveness towards equal treatment of shareholders and the use of anti-takeover devices.</w:t>
            </w:r>
          </w:p>
          <w:p w14:paraId="68D0BD9E" w14:textId="0FB5D253" w:rsidR="00FF6508" w:rsidRPr="00B67CC0" w:rsidRDefault="00FF6508" w:rsidP="003F41AE">
            <w:pPr>
              <w:pStyle w:val="ListParagraph"/>
              <w:widowControl/>
              <w:numPr>
                <w:ilvl w:val="0"/>
                <w:numId w:val="37"/>
              </w:numPr>
              <w:autoSpaceDE/>
              <w:autoSpaceDN/>
              <w:ind w:left="346"/>
              <w:jc w:val="both"/>
              <w:rPr>
                <w:rFonts w:asciiTheme="majorBidi" w:hAnsiTheme="majorBidi" w:cstheme="majorBidi"/>
                <w:sz w:val="24"/>
                <w:szCs w:val="24"/>
              </w:rPr>
            </w:pPr>
            <w:r w:rsidRPr="00B67CC0">
              <w:rPr>
                <w:rFonts w:asciiTheme="majorBidi" w:hAnsiTheme="majorBidi" w:cstheme="majorBidi"/>
                <w:sz w:val="24"/>
                <w:szCs w:val="24"/>
              </w:rPr>
              <w:t>LSEG ESG CSR strategy score</w:t>
            </w:r>
            <w:r w:rsidRPr="00B67CC0">
              <w:rPr>
                <w:rFonts w:asciiTheme="majorBidi" w:hAnsiTheme="majorBidi" w:cstheme="majorBidi"/>
                <w:sz w:val="24"/>
                <w:szCs w:val="24"/>
              </w:rPr>
              <w:tab/>
              <w:t>(9 indicators)</w:t>
            </w:r>
            <w:r w:rsidR="00D40DF2" w:rsidRPr="00B67CC0">
              <w:rPr>
                <w:rFonts w:asciiTheme="majorBidi" w:hAnsiTheme="majorBidi" w:cstheme="majorBidi"/>
                <w:sz w:val="24"/>
                <w:szCs w:val="24"/>
              </w:rPr>
              <w:t xml:space="preserve"> </w:t>
            </w:r>
            <w:r w:rsidRPr="00B67CC0">
              <w:rPr>
                <w:rFonts w:asciiTheme="majorBidi" w:hAnsiTheme="majorBidi" w:cstheme="majorBidi"/>
                <w:sz w:val="24"/>
                <w:szCs w:val="24"/>
              </w:rPr>
              <w:t>reflects a company’s practices to communicate that it integrates economic (financial), social and environmental dimensions into its day-to-day decision- making processes.</w:t>
            </w:r>
          </w:p>
        </w:tc>
      </w:tr>
    </w:tbl>
    <w:p w14:paraId="06C08A82" w14:textId="77777777" w:rsidR="00FF0630" w:rsidRPr="00B67CC0" w:rsidRDefault="00FF0630" w:rsidP="003F41AE">
      <w:pPr>
        <w:rPr>
          <w:rFonts w:asciiTheme="majorBidi" w:hAnsiTheme="majorBidi" w:cstheme="majorBidi"/>
          <w:b/>
          <w:bCs/>
          <w:i/>
          <w:iCs/>
          <w:color w:val="000000"/>
          <w:sz w:val="20"/>
          <w:szCs w:val="20"/>
          <w:shd w:val="clear" w:color="auto" w:fill="FFFFFF"/>
        </w:rPr>
      </w:pPr>
      <w:r w:rsidRPr="00B67CC0">
        <w:rPr>
          <w:rFonts w:asciiTheme="majorBidi" w:hAnsiTheme="majorBidi" w:cstheme="majorBidi"/>
          <w:b/>
          <w:bCs/>
          <w:i/>
          <w:iCs/>
          <w:color w:val="000000"/>
          <w:sz w:val="20"/>
          <w:szCs w:val="20"/>
          <w:shd w:val="clear" w:color="auto" w:fill="FFFFFF"/>
        </w:rPr>
        <w:t xml:space="preserve">Source: </w:t>
      </w:r>
      <w:hyperlink r:id="rId29" w:tgtFrame="_blank" w:history="1">
        <w:r w:rsidRPr="00B67CC0">
          <w:rPr>
            <w:rStyle w:val="Hyperlink"/>
            <w:rFonts w:asciiTheme="majorBidi" w:hAnsiTheme="majorBidi" w:cstheme="majorBidi"/>
            <w:b/>
            <w:bCs/>
            <w:i/>
            <w:iCs/>
            <w:sz w:val="20"/>
            <w:szCs w:val="20"/>
            <w:shd w:val="clear" w:color="auto" w:fill="FFFFFF"/>
          </w:rPr>
          <w:t>LSEG ESG</w:t>
        </w:r>
      </w:hyperlink>
      <w:r w:rsidRPr="00B67CC0">
        <w:rPr>
          <w:rFonts w:asciiTheme="majorBidi" w:hAnsiTheme="majorBidi" w:cstheme="majorBidi"/>
          <w:b/>
          <w:bCs/>
          <w:i/>
          <w:iCs/>
          <w:color w:val="000000"/>
          <w:sz w:val="20"/>
          <w:szCs w:val="20"/>
          <w:shd w:val="clear" w:color="auto" w:fill="FFFFFF"/>
        </w:rPr>
        <w:t xml:space="preserve"> </w:t>
      </w:r>
    </w:p>
    <w:p w14:paraId="383D59C7" w14:textId="77777777" w:rsidR="00E10F3F" w:rsidRPr="00B67CC0" w:rsidRDefault="00E10F3F" w:rsidP="003F41AE">
      <w:pPr>
        <w:adjustRightInd w:val="0"/>
        <w:jc w:val="both"/>
        <w:rPr>
          <w:rFonts w:asciiTheme="majorBidi" w:hAnsiTheme="majorBidi" w:cstheme="majorBidi"/>
        </w:rPr>
      </w:pPr>
    </w:p>
    <w:p w14:paraId="7E28E4E3" w14:textId="77777777" w:rsidR="00495D4F" w:rsidRDefault="00495D4F" w:rsidP="00A620FE">
      <w:pPr>
        <w:pStyle w:val="NormalWeb"/>
        <w:spacing w:before="0" w:beforeAutospacing="0" w:after="0" w:afterAutospacing="0"/>
        <w:jc w:val="both"/>
        <w:rPr>
          <w:rFonts w:asciiTheme="majorBidi" w:hAnsiTheme="majorBidi" w:cstheme="majorBidi"/>
          <w:b/>
          <w:bCs/>
          <w:sz w:val="22"/>
          <w:szCs w:val="22"/>
          <w14:ligatures w14:val="standardContextual"/>
        </w:rPr>
      </w:pPr>
    </w:p>
    <w:p w14:paraId="4D9E682F" w14:textId="77777777" w:rsidR="00495D4F" w:rsidRDefault="00495D4F" w:rsidP="00A620FE">
      <w:pPr>
        <w:pStyle w:val="NormalWeb"/>
        <w:spacing w:before="0" w:beforeAutospacing="0" w:after="0" w:afterAutospacing="0"/>
        <w:jc w:val="both"/>
        <w:rPr>
          <w:rFonts w:asciiTheme="majorBidi" w:hAnsiTheme="majorBidi" w:cstheme="majorBidi"/>
          <w:b/>
          <w:bCs/>
          <w:sz w:val="22"/>
          <w:szCs w:val="22"/>
          <w14:ligatures w14:val="standardContextual"/>
        </w:rPr>
      </w:pPr>
    </w:p>
    <w:p w14:paraId="03CC01DF" w14:textId="01E1C710" w:rsidR="00A620FE" w:rsidRPr="009846A0" w:rsidRDefault="00A620FE" w:rsidP="00A620FE">
      <w:pPr>
        <w:pStyle w:val="NormalWeb"/>
        <w:spacing w:before="0" w:beforeAutospacing="0" w:after="0" w:afterAutospacing="0"/>
        <w:jc w:val="both"/>
        <w:rPr>
          <w:rFonts w:asciiTheme="majorBidi" w:hAnsiTheme="majorBidi" w:cstheme="majorBidi"/>
          <w:b/>
          <w:bCs/>
          <w:sz w:val="22"/>
          <w:szCs w:val="22"/>
          <w14:ligatures w14:val="standardContextual"/>
        </w:rPr>
      </w:pPr>
      <w:r w:rsidRPr="009846A0">
        <w:rPr>
          <w:rFonts w:asciiTheme="majorBidi" w:hAnsiTheme="majorBidi" w:cstheme="majorBidi"/>
          <w:b/>
          <w:bCs/>
          <w:sz w:val="22"/>
          <w:szCs w:val="22"/>
          <w14:ligatures w14:val="standardContextual"/>
        </w:rPr>
        <w:lastRenderedPageBreak/>
        <w:t xml:space="preserve">Appendix A: </w:t>
      </w:r>
      <w:r w:rsidRPr="009846A0">
        <w:rPr>
          <w:b/>
          <w:bCs/>
        </w:rPr>
        <w:t>Moody’s Rating System</w:t>
      </w:r>
    </w:p>
    <w:p w14:paraId="44706F33" w14:textId="77777777" w:rsidR="00A620FE" w:rsidRDefault="00A620FE" w:rsidP="00A620FE">
      <w:pPr>
        <w:pStyle w:val="NormalWeb"/>
        <w:spacing w:before="0" w:beforeAutospacing="0" w:after="0" w:afterAutospacing="0"/>
        <w:ind w:firstLine="432"/>
        <w:jc w:val="both"/>
        <w:rPr>
          <w:rFonts w:asciiTheme="majorBidi" w:hAnsiTheme="majorBidi" w:cstheme="majorBidi"/>
          <w:sz w:val="22"/>
          <w:szCs w:val="22"/>
          <w14:ligatures w14:val="standardContextual"/>
        </w:rPr>
      </w:pPr>
    </w:p>
    <w:tbl>
      <w:tblPr>
        <w:tblW w:w="5000" w:type="pct"/>
        <w:tblBorders>
          <w:top w:val="single" w:sz="4" w:space="0" w:color="auto"/>
          <w:insideH w:val="single" w:sz="4" w:space="0" w:color="auto"/>
        </w:tblBorders>
        <w:tblLayout w:type="fixed"/>
        <w:tblLook w:val="04A0" w:firstRow="1" w:lastRow="0" w:firstColumn="1" w:lastColumn="0" w:noHBand="0" w:noVBand="1"/>
      </w:tblPr>
      <w:tblGrid>
        <w:gridCol w:w="1170"/>
        <w:gridCol w:w="6056"/>
        <w:gridCol w:w="1067"/>
        <w:gridCol w:w="1067"/>
      </w:tblGrid>
      <w:tr w:rsidR="00A620FE" w:rsidRPr="0059755C" w14:paraId="1EA13713" w14:textId="77777777" w:rsidTr="0034479B">
        <w:tc>
          <w:tcPr>
            <w:tcW w:w="625" w:type="pct"/>
            <w:tcBorders>
              <w:top w:val="double" w:sz="4" w:space="0" w:color="auto"/>
              <w:bottom w:val="double" w:sz="4" w:space="0" w:color="auto"/>
            </w:tcBorders>
            <w:shd w:val="clear" w:color="auto" w:fill="auto"/>
            <w:noWrap/>
            <w:vAlign w:val="bottom"/>
            <w:hideMark/>
          </w:tcPr>
          <w:p w14:paraId="2866D14B"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Rating symbols</w:t>
            </w:r>
          </w:p>
        </w:tc>
        <w:tc>
          <w:tcPr>
            <w:tcW w:w="3235" w:type="pct"/>
            <w:tcBorders>
              <w:top w:val="double" w:sz="4" w:space="0" w:color="auto"/>
              <w:bottom w:val="double" w:sz="4" w:space="0" w:color="auto"/>
            </w:tcBorders>
            <w:shd w:val="clear" w:color="auto" w:fill="auto"/>
            <w:noWrap/>
            <w:vAlign w:val="bottom"/>
            <w:hideMark/>
          </w:tcPr>
          <w:p w14:paraId="0B77F4F4"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Comments</w:t>
            </w:r>
          </w:p>
        </w:tc>
        <w:tc>
          <w:tcPr>
            <w:tcW w:w="570" w:type="pct"/>
            <w:tcBorders>
              <w:top w:val="double" w:sz="4" w:space="0" w:color="auto"/>
              <w:bottom w:val="double" w:sz="4" w:space="0" w:color="auto"/>
            </w:tcBorders>
            <w:shd w:val="clear" w:color="auto" w:fill="auto"/>
            <w:noWrap/>
            <w:vAlign w:val="bottom"/>
            <w:hideMark/>
          </w:tcPr>
          <w:p w14:paraId="13FCEBCA"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Rating notches</w:t>
            </w:r>
          </w:p>
        </w:tc>
        <w:tc>
          <w:tcPr>
            <w:tcW w:w="570" w:type="pct"/>
            <w:tcBorders>
              <w:top w:val="double" w:sz="4" w:space="0" w:color="auto"/>
              <w:bottom w:val="double" w:sz="4" w:space="0" w:color="auto"/>
            </w:tcBorders>
            <w:shd w:val="clear" w:color="auto" w:fill="auto"/>
            <w:noWrap/>
            <w:vAlign w:val="bottom"/>
            <w:hideMark/>
          </w:tcPr>
          <w:p w14:paraId="68EE723B" w14:textId="77777777" w:rsidR="00A620FE" w:rsidRPr="00BF1550" w:rsidRDefault="00A620FE" w:rsidP="0034479B">
            <w:pPr>
              <w:widowControl/>
              <w:autoSpaceDE/>
              <w:autoSpaceDN/>
              <w:rPr>
                <w:rFonts w:asciiTheme="majorBidi" w:hAnsiTheme="majorBidi" w:cstheme="majorBidi"/>
                <w:color w:val="000000"/>
                <w14:ligatures w14:val="none"/>
              </w:rPr>
            </w:pPr>
            <w:r>
              <w:rPr>
                <w:rFonts w:ascii="TTE18C7BF8t00" w:eastAsiaTheme="minorHAnsi" w:hAnsi="TTE18C7BF8t00" w:cs="TTE18C7BF8t00"/>
                <w:sz w:val="24"/>
                <w:szCs w:val="24"/>
              </w:rPr>
              <w:t>Ranking scale</w:t>
            </w:r>
          </w:p>
        </w:tc>
      </w:tr>
      <w:tr w:rsidR="00A620FE" w:rsidRPr="0059755C" w14:paraId="5ABB1A45" w14:textId="77777777" w:rsidTr="0034479B">
        <w:tc>
          <w:tcPr>
            <w:tcW w:w="5000" w:type="pct"/>
            <w:gridSpan w:val="4"/>
            <w:tcBorders>
              <w:top w:val="double" w:sz="4" w:space="0" w:color="auto"/>
            </w:tcBorders>
            <w:shd w:val="clear" w:color="auto" w:fill="auto"/>
            <w:noWrap/>
            <w:vAlign w:val="center"/>
          </w:tcPr>
          <w:p w14:paraId="29CA8E20" w14:textId="77777777" w:rsidR="00A620FE" w:rsidRPr="0059755C"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Investment</w:t>
            </w:r>
          </w:p>
        </w:tc>
      </w:tr>
      <w:tr w:rsidR="00A620FE" w:rsidRPr="0059755C" w14:paraId="35499E9F" w14:textId="77777777" w:rsidTr="0034479B">
        <w:tc>
          <w:tcPr>
            <w:tcW w:w="625" w:type="pct"/>
            <w:shd w:val="clear" w:color="auto" w:fill="auto"/>
            <w:noWrap/>
            <w:vAlign w:val="center"/>
            <w:hideMark/>
          </w:tcPr>
          <w:p w14:paraId="56EBAF31" w14:textId="77777777" w:rsidR="00A620FE" w:rsidRPr="00BF1550" w:rsidRDefault="00A620FE" w:rsidP="0034479B">
            <w:pPr>
              <w:widowControl/>
              <w:autoSpaceDE/>
              <w:autoSpaceDN/>
              <w:rPr>
                <w:rFonts w:asciiTheme="majorBidi" w:hAnsiTheme="majorBidi" w:cstheme="majorBidi"/>
                <w:color w:val="000000"/>
                <w14:ligatures w14:val="none"/>
              </w:rPr>
            </w:pPr>
            <w:proofErr w:type="spellStart"/>
            <w:r w:rsidRPr="00BF1550">
              <w:rPr>
                <w:rFonts w:asciiTheme="majorBidi" w:hAnsiTheme="majorBidi" w:cstheme="majorBidi"/>
                <w:color w:val="000000"/>
                <w14:ligatures w14:val="none"/>
              </w:rPr>
              <w:t>Aaa</w:t>
            </w:r>
            <w:proofErr w:type="spellEnd"/>
          </w:p>
        </w:tc>
        <w:tc>
          <w:tcPr>
            <w:tcW w:w="3235" w:type="pct"/>
            <w:shd w:val="clear" w:color="auto" w:fill="auto"/>
            <w:noWrap/>
            <w:vAlign w:val="center"/>
            <w:hideMark/>
          </w:tcPr>
          <w:p w14:paraId="2AACDABF"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Highest quality, subject to the lowest level of credit risk</w:t>
            </w:r>
          </w:p>
        </w:tc>
        <w:tc>
          <w:tcPr>
            <w:tcW w:w="570" w:type="pct"/>
            <w:shd w:val="clear" w:color="auto" w:fill="auto"/>
            <w:noWrap/>
            <w:vAlign w:val="bottom"/>
            <w:hideMark/>
          </w:tcPr>
          <w:p w14:paraId="44509319" w14:textId="77777777" w:rsidR="00A620FE" w:rsidRPr="00BF1550" w:rsidRDefault="00A620FE" w:rsidP="0034479B">
            <w:pPr>
              <w:widowControl/>
              <w:autoSpaceDE/>
              <w:autoSpaceDN/>
              <w:rPr>
                <w:rFonts w:asciiTheme="majorBidi" w:hAnsiTheme="majorBidi" w:cstheme="majorBidi"/>
                <w:color w:val="000000"/>
                <w14:ligatures w14:val="none"/>
              </w:rPr>
            </w:pPr>
            <w:proofErr w:type="spellStart"/>
            <w:r w:rsidRPr="00BF1550">
              <w:rPr>
                <w:rFonts w:asciiTheme="majorBidi" w:hAnsiTheme="majorBidi" w:cstheme="majorBidi"/>
                <w:color w:val="000000"/>
                <w14:ligatures w14:val="none"/>
              </w:rPr>
              <w:t>Aaa</w:t>
            </w:r>
            <w:proofErr w:type="spellEnd"/>
          </w:p>
        </w:tc>
        <w:tc>
          <w:tcPr>
            <w:tcW w:w="570" w:type="pct"/>
            <w:shd w:val="clear" w:color="auto" w:fill="auto"/>
            <w:noWrap/>
            <w:vAlign w:val="bottom"/>
            <w:hideMark/>
          </w:tcPr>
          <w:p w14:paraId="62280B62"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21</w:t>
            </w:r>
          </w:p>
        </w:tc>
      </w:tr>
      <w:tr w:rsidR="00A620FE" w:rsidRPr="0059755C" w14:paraId="56AD9DEC" w14:textId="77777777" w:rsidTr="0034479B">
        <w:tc>
          <w:tcPr>
            <w:tcW w:w="625" w:type="pct"/>
            <w:vMerge w:val="restart"/>
            <w:shd w:val="clear" w:color="auto" w:fill="auto"/>
            <w:noWrap/>
            <w:vAlign w:val="center"/>
            <w:hideMark/>
          </w:tcPr>
          <w:p w14:paraId="64570271"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Aa</w:t>
            </w:r>
          </w:p>
        </w:tc>
        <w:tc>
          <w:tcPr>
            <w:tcW w:w="3235" w:type="pct"/>
            <w:vMerge w:val="restart"/>
            <w:shd w:val="clear" w:color="auto" w:fill="auto"/>
            <w:noWrap/>
            <w:vAlign w:val="center"/>
            <w:hideMark/>
          </w:tcPr>
          <w:p w14:paraId="79058A3B"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High quality, subject to very low credit risk</w:t>
            </w:r>
          </w:p>
        </w:tc>
        <w:tc>
          <w:tcPr>
            <w:tcW w:w="570" w:type="pct"/>
            <w:shd w:val="clear" w:color="auto" w:fill="auto"/>
            <w:noWrap/>
            <w:vAlign w:val="bottom"/>
            <w:hideMark/>
          </w:tcPr>
          <w:p w14:paraId="6494E9D3"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Aa1</w:t>
            </w:r>
          </w:p>
        </w:tc>
        <w:tc>
          <w:tcPr>
            <w:tcW w:w="570" w:type="pct"/>
            <w:shd w:val="clear" w:color="auto" w:fill="auto"/>
            <w:noWrap/>
            <w:vAlign w:val="bottom"/>
            <w:hideMark/>
          </w:tcPr>
          <w:p w14:paraId="3FDB2F2D"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20</w:t>
            </w:r>
          </w:p>
        </w:tc>
      </w:tr>
      <w:tr w:rsidR="00A620FE" w:rsidRPr="0059755C" w14:paraId="21C66E01" w14:textId="77777777" w:rsidTr="0034479B">
        <w:tc>
          <w:tcPr>
            <w:tcW w:w="625" w:type="pct"/>
            <w:vMerge/>
            <w:shd w:val="clear" w:color="auto" w:fill="auto"/>
            <w:noWrap/>
            <w:vAlign w:val="center"/>
            <w:hideMark/>
          </w:tcPr>
          <w:p w14:paraId="5D905900"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05B32EEB"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461B9FA6"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Aa2</w:t>
            </w:r>
          </w:p>
        </w:tc>
        <w:tc>
          <w:tcPr>
            <w:tcW w:w="570" w:type="pct"/>
            <w:shd w:val="clear" w:color="auto" w:fill="auto"/>
            <w:noWrap/>
            <w:vAlign w:val="bottom"/>
            <w:hideMark/>
          </w:tcPr>
          <w:p w14:paraId="2CC87893"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19</w:t>
            </w:r>
          </w:p>
        </w:tc>
      </w:tr>
      <w:tr w:rsidR="00A620FE" w:rsidRPr="0059755C" w14:paraId="1D624741" w14:textId="77777777" w:rsidTr="0034479B">
        <w:tc>
          <w:tcPr>
            <w:tcW w:w="625" w:type="pct"/>
            <w:vMerge/>
            <w:shd w:val="clear" w:color="auto" w:fill="auto"/>
            <w:noWrap/>
            <w:vAlign w:val="center"/>
            <w:hideMark/>
          </w:tcPr>
          <w:p w14:paraId="5476E498"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702C78F4"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75290B65"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Aa3</w:t>
            </w:r>
          </w:p>
        </w:tc>
        <w:tc>
          <w:tcPr>
            <w:tcW w:w="570" w:type="pct"/>
            <w:shd w:val="clear" w:color="auto" w:fill="auto"/>
            <w:noWrap/>
            <w:vAlign w:val="bottom"/>
            <w:hideMark/>
          </w:tcPr>
          <w:p w14:paraId="42A70B1E"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18</w:t>
            </w:r>
          </w:p>
        </w:tc>
      </w:tr>
      <w:tr w:rsidR="00A620FE" w:rsidRPr="0059755C" w14:paraId="316A7B90" w14:textId="77777777" w:rsidTr="0034479B">
        <w:tc>
          <w:tcPr>
            <w:tcW w:w="625" w:type="pct"/>
            <w:vMerge w:val="restart"/>
            <w:shd w:val="clear" w:color="auto" w:fill="auto"/>
            <w:noWrap/>
            <w:vAlign w:val="center"/>
            <w:hideMark/>
          </w:tcPr>
          <w:p w14:paraId="5E545BC8"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A</w:t>
            </w:r>
          </w:p>
        </w:tc>
        <w:tc>
          <w:tcPr>
            <w:tcW w:w="3235" w:type="pct"/>
            <w:vMerge w:val="restart"/>
            <w:shd w:val="clear" w:color="auto" w:fill="auto"/>
            <w:noWrap/>
            <w:vAlign w:val="center"/>
            <w:hideMark/>
          </w:tcPr>
          <w:p w14:paraId="6551F952"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Upper-medium grade, subject to low credit risk</w:t>
            </w:r>
          </w:p>
        </w:tc>
        <w:tc>
          <w:tcPr>
            <w:tcW w:w="570" w:type="pct"/>
            <w:shd w:val="clear" w:color="auto" w:fill="auto"/>
            <w:noWrap/>
            <w:vAlign w:val="bottom"/>
            <w:hideMark/>
          </w:tcPr>
          <w:p w14:paraId="14D6ADB0"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A1</w:t>
            </w:r>
          </w:p>
        </w:tc>
        <w:tc>
          <w:tcPr>
            <w:tcW w:w="570" w:type="pct"/>
            <w:shd w:val="clear" w:color="auto" w:fill="auto"/>
            <w:noWrap/>
            <w:vAlign w:val="bottom"/>
            <w:hideMark/>
          </w:tcPr>
          <w:p w14:paraId="0AD1E5D3"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17</w:t>
            </w:r>
          </w:p>
        </w:tc>
      </w:tr>
      <w:tr w:rsidR="00A620FE" w:rsidRPr="0059755C" w14:paraId="46593101" w14:textId="77777777" w:rsidTr="0034479B">
        <w:tc>
          <w:tcPr>
            <w:tcW w:w="625" w:type="pct"/>
            <w:vMerge/>
            <w:shd w:val="clear" w:color="auto" w:fill="auto"/>
            <w:noWrap/>
            <w:vAlign w:val="center"/>
            <w:hideMark/>
          </w:tcPr>
          <w:p w14:paraId="5D1307B8"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3E1C17D4"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56CAEEC4"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A2</w:t>
            </w:r>
          </w:p>
        </w:tc>
        <w:tc>
          <w:tcPr>
            <w:tcW w:w="570" w:type="pct"/>
            <w:shd w:val="clear" w:color="auto" w:fill="auto"/>
            <w:noWrap/>
            <w:vAlign w:val="bottom"/>
            <w:hideMark/>
          </w:tcPr>
          <w:p w14:paraId="4236AB5F"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16</w:t>
            </w:r>
          </w:p>
        </w:tc>
      </w:tr>
      <w:tr w:rsidR="00A620FE" w:rsidRPr="0059755C" w14:paraId="37215FC1" w14:textId="77777777" w:rsidTr="0034479B">
        <w:tc>
          <w:tcPr>
            <w:tcW w:w="625" w:type="pct"/>
            <w:vMerge/>
            <w:shd w:val="clear" w:color="auto" w:fill="auto"/>
            <w:noWrap/>
            <w:vAlign w:val="center"/>
            <w:hideMark/>
          </w:tcPr>
          <w:p w14:paraId="66B9D6DE"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0274E4E2"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597D6A99"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A3</w:t>
            </w:r>
          </w:p>
        </w:tc>
        <w:tc>
          <w:tcPr>
            <w:tcW w:w="570" w:type="pct"/>
            <w:shd w:val="clear" w:color="auto" w:fill="auto"/>
            <w:noWrap/>
            <w:vAlign w:val="bottom"/>
            <w:hideMark/>
          </w:tcPr>
          <w:p w14:paraId="3B6F47C7"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15</w:t>
            </w:r>
          </w:p>
        </w:tc>
      </w:tr>
      <w:tr w:rsidR="00A620FE" w:rsidRPr="0059755C" w14:paraId="594EACAC" w14:textId="77777777" w:rsidTr="0034479B">
        <w:tc>
          <w:tcPr>
            <w:tcW w:w="625" w:type="pct"/>
            <w:vMerge w:val="restart"/>
            <w:shd w:val="clear" w:color="auto" w:fill="auto"/>
            <w:noWrap/>
            <w:vAlign w:val="center"/>
            <w:hideMark/>
          </w:tcPr>
          <w:p w14:paraId="16634D60"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Baa</w:t>
            </w:r>
          </w:p>
        </w:tc>
        <w:tc>
          <w:tcPr>
            <w:tcW w:w="3235" w:type="pct"/>
            <w:vMerge w:val="restart"/>
            <w:shd w:val="clear" w:color="auto" w:fill="auto"/>
            <w:noWrap/>
            <w:vAlign w:val="center"/>
            <w:hideMark/>
          </w:tcPr>
          <w:p w14:paraId="7A9C22AE"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Medium-grade, subject to moderate credit risk and may possess certain speculative characteristics</w:t>
            </w:r>
          </w:p>
        </w:tc>
        <w:tc>
          <w:tcPr>
            <w:tcW w:w="570" w:type="pct"/>
            <w:shd w:val="clear" w:color="auto" w:fill="auto"/>
            <w:noWrap/>
            <w:vAlign w:val="bottom"/>
            <w:hideMark/>
          </w:tcPr>
          <w:p w14:paraId="52EB6000"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Baa1</w:t>
            </w:r>
          </w:p>
        </w:tc>
        <w:tc>
          <w:tcPr>
            <w:tcW w:w="570" w:type="pct"/>
            <w:shd w:val="clear" w:color="auto" w:fill="auto"/>
            <w:noWrap/>
            <w:vAlign w:val="bottom"/>
            <w:hideMark/>
          </w:tcPr>
          <w:p w14:paraId="2ACEC455"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14</w:t>
            </w:r>
          </w:p>
        </w:tc>
      </w:tr>
      <w:tr w:rsidR="00A620FE" w:rsidRPr="0059755C" w14:paraId="010DF3DF" w14:textId="77777777" w:rsidTr="0034479B">
        <w:tc>
          <w:tcPr>
            <w:tcW w:w="625" w:type="pct"/>
            <w:vMerge/>
            <w:shd w:val="clear" w:color="auto" w:fill="auto"/>
            <w:noWrap/>
            <w:vAlign w:val="center"/>
            <w:hideMark/>
          </w:tcPr>
          <w:p w14:paraId="3A431A60"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3B57B130"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2E354FE3"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Baa2</w:t>
            </w:r>
          </w:p>
        </w:tc>
        <w:tc>
          <w:tcPr>
            <w:tcW w:w="570" w:type="pct"/>
            <w:shd w:val="clear" w:color="auto" w:fill="auto"/>
            <w:noWrap/>
            <w:vAlign w:val="bottom"/>
            <w:hideMark/>
          </w:tcPr>
          <w:p w14:paraId="4E467BF3"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13</w:t>
            </w:r>
          </w:p>
        </w:tc>
      </w:tr>
      <w:tr w:rsidR="00A620FE" w:rsidRPr="0059755C" w14:paraId="6569BB1F" w14:textId="77777777" w:rsidTr="0034479B">
        <w:tc>
          <w:tcPr>
            <w:tcW w:w="625" w:type="pct"/>
            <w:vMerge/>
            <w:shd w:val="clear" w:color="auto" w:fill="auto"/>
            <w:noWrap/>
            <w:vAlign w:val="center"/>
            <w:hideMark/>
          </w:tcPr>
          <w:p w14:paraId="0F515648"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3E67B856"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2C1798B7"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Baa3</w:t>
            </w:r>
          </w:p>
        </w:tc>
        <w:tc>
          <w:tcPr>
            <w:tcW w:w="570" w:type="pct"/>
            <w:shd w:val="clear" w:color="auto" w:fill="auto"/>
            <w:noWrap/>
            <w:vAlign w:val="bottom"/>
            <w:hideMark/>
          </w:tcPr>
          <w:p w14:paraId="204A81FE"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12</w:t>
            </w:r>
          </w:p>
        </w:tc>
      </w:tr>
      <w:tr w:rsidR="00A620FE" w:rsidRPr="0059755C" w14:paraId="41831D23" w14:textId="77777777" w:rsidTr="0034479B">
        <w:tc>
          <w:tcPr>
            <w:tcW w:w="5000" w:type="pct"/>
            <w:gridSpan w:val="4"/>
            <w:shd w:val="clear" w:color="auto" w:fill="auto"/>
            <w:noWrap/>
            <w:vAlign w:val="center"/>
          </w:tcPr>
          <w:p w14:paraId="243C89E7" w14:textId="77777777" w:rsidR="00A620FE" w:rsidRPr="0059755C"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Speculative</w:t>
            </w:r>
          </w:p>
        </w:tc>
      </w:tr>
      <w:tr w:rsidR="00A620FE" w:rsidRPr="0059755C" w14:paraId="19C3707A" w14:textId="77777777" w:rsidTr="0034479B">
        <w:tc>
          <w:tcPr>
            <w:tcW w:w="625" w:type="pct"/>
            <w:vMerge w:val="restart"/>
            <w:shd w:val="clear" w:color="auto" w:fill="auto"/>
            <w:noWrap/>
            <w:vAlign w:val="center"/>
            <w:hideMark/>
          </w:tcPr>
          <w:p w14:paraId="5E01A6B9"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Ba</w:t>
            </w:r>
          </w:p>
        </w:tc>
        <w:tc>
          <w:tcPr>
            <w:tcW w:w="3235" w:type="pct"/>
            <w:vMerge w:val="restart"/>
            <w:shd w:val="clear" w:color="auto" w:fill="auto"/>
            <w:noWrap/>
            <w:vAlign w:val="center"/>
            <w:hideMark/>
          </w:tcPr>
          <w:p w14:paraId="0065ED57"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Judged to be speculative, subject to substantial credit risk</w:t>
            </w:r>
          </w:p>
        </w:tc>
        <w:tc>
          <w:tcPr>
            <w:tcW w:w="570" w:type="pct"/>
            <w:shd w:val="clear" w:color="auto" w:fill="auto"/>
            <w:noWrap/>
            <w:vAlign w:val="bottom"/>
            <w:hideMark/>
          </w:tcPr>
          <w:p w14:paraId="614EC5D2"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Ba1</w:t>
            </w:r>
          </w:p>
        </w:tc>
        <w:tc>
          <w:tcPr>
            <w:tcW w:w="570" w:type="pct"/>
            <w:shd w:val="clear" w:color="auto" w:fill="auto"/>
            <w:noWrap/>
            <w:vAlign w:val="bottom"/>
            <w:hideMark/>
          </w:tcPr>
          <w:p w14:paraId="2607F15E"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11</w:t>
            </w:r>
          </w:p>
        </w:tc>
      </w:tr>
      <w:tr w:rsidR="00A620FE" w:rsidRPr="0059755C" w14:paraId="19EDA5A3" w14:textId="77777777" w:rsidTr="0034479B">
        <w:tc>
          <w:tcPr>
            <w:tcW w:w="625" w:type="pct"/>
            <w:vMerge/>
            <w:shd w:val="clear" w:color="auto" w:fill="auto"/>
            <w:noWrap/>
            <w:vAlign w:val="center"/>
            <w:hideMark/>
          </w:tcPr>
          <w:p w14:paraId="79BEBD2D"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256C64C8"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4A6302D4"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Ba2</w:t>
            </w:r>
          </w:p>
        </w:tc>
        <w:tc>
          <w:tcPr>
            <w:tcW w:w="570" w:type="pct"/>
            <w:shd w:val="clear" w:color="auto" w:fill="auto"/>
            <w:noWrap/>
            <w:vAlign w:val="bottom"/>
            <w:hideMark/>
          </w:tcPr>
          <w:p w14:paraId="5370655E"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10</w:t>
            </w:r>
          </w:p>
        </w:tc>
      </w:tr>
      <w:tr w:rsidR="00A620FE" w:rsidRPr="0059755C" w14:paraId="124DFF6E" w14:textId="77777777" w:rsidTr="0034479B">
        <w:tc>
          <w:tcPr>
            <w:tcW w:w="625" w:type="pct"/>
            <w:vMerge/>
            <w:shd w:val="clear" w:color="auto" w:fill="auto"/>
            <w:noWrap/>
            <w:vAlign w:val="center"/>
            <w:hideMark/>
          </w:tcPr>
          <w:p w14:paraId="4CF81390"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641361BD"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5699751D"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Ba3</w:t>
            </w:r>
          </w:p>
        </w:tc>
        <w:tc>
          <w:tcPr>
            <w:tcW w:w="570" w:type="pct"/>
            <w:shd w:val="clear" w:color="auto" w:fill="auto"/>
            <w:noWrap/>
            <w:vAlign w:val="bottom"/>
            <w:hideMark/>
          </w:tcPr>
          <w:p w14:paraId="582EB120"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9</w:t>
            </w:r>
          </w:p>
        </w:tc>
      </w:tr>
      <w:tr w:rsidR="00A620FE" w:rsidRPr="0059755C" w14:paraId="7E92165F" w14:textId="77777777" w:rsidTr="0034479B">
        <w:tc>
          <w:tcPr>
            <w:tcW w:w="625" w:type="pct"/>
            <w:vMerge w:val="restart"/>
            <w:shd w:val="clear" w:color="auto" w:fill="auto"/>
            <w:noWrap/>
            <w:vAlign w:val="center"/>
            <w:hideMark/>
          </w:tcPr>
          <w:p w14:paraId="554CDA87"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w:t>
            </w:r>
          </w:p>
        </w:tc>
        <w:tc>
          <w:tcPr>
            <w:tcW w:w="3235" w:type="pct"/>
            <w:vMerge w:val="restart"/>
            <w:shd w:val="clear" w:color="auto" w:fill="auto"/>
            <w:noWrap/>
            <w:vAlign w:val="center"/>
            <w:hideMark/>
          </w:tcPr>
          <w:p w14:paraId="00685665"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Considered speculative, subject to high credit risk</w:t>
            </w:r>
          </w:p>
        </w:tc>
        <w:tc>
          <w:tcPr>
            <w:tcW w:w="570" w:type="pct"/>
            <w:shd w:val="clear" w:color="auto" w:fill="auto"/>
            <w:noWrap/>
            <w:vAlign w:val="bottom"/>
            <w:hideMark/>
          </w:tcPr>
          <w:p w14:paraId="3DC72301"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B1</w:t>
            </w:r>
          </w:p>
        </w:tc>
        <w:tc>
          <w:tcPr>
            <w:tcW w:w="570" w:type="pct"/>
            <w:shd w:val="clear" w:color="auto" w:fill="auto"/>
            <w:noWrap/>
            <w:vAlign w:val="bottom"/>
            <w:hideMark/>
          </w:tcPr>
          <w:p w14:paraId="1B96ADB1"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8</w:t>
            </w:r>
          </w:p>
        </w:tc>
      </w:tr>
      <w:tr w:rsidR="00A620FE" w:rsidRPr="0059755C" w14:paraId="3468A727" w14:textId="77777777" w:rsidTr="0034479B">
        <w:tc>
          <w:tcPr>
            <w:tcW w:w="625" w:type="pct"/>
            <w:vMerge/>
            <w:shd w:val="clear" w:color="auto" w:fill="auto"/>
            <w:noWrap/>
            <w:vAlign w:val="center"/>
            <w:hideMark/>
          </w:tcPr>
          <w:p w14:paraId="457127C2"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210F1106"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5A0CDAF6"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B2</w:t>
            </w:r>
          </w:p>
        </w:tc>
        <w:tc>
          <w:tcPr>
            <w:tcW w:w="570" w:type="pct"/>
            <w:shd w:val="clear" w:color="auto" w:fill="auto"/>
            <w:noWrap/>
            <w:vAlign w:val="bottom"/>
            <w:hideMark/>
          </w:tcPr>
          <w:p w14:paraId="3A38E9A8"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7</w:t>
            </w:r>
          </w:p>
        </w:tc>
      </w:tr>
      <w:tr w:rsidR="00A620FE" w:rsidRPr="0059755C" w14:paraId="5FE25F59" w14:textId="77777777" w:rsidTr="0034479B">
        <w:tc>
          <w:tcPr>
            <w:tcW w:w="625" w:type="pct"/>
            <w:vMerge/>
            <w:shd w:val="clear" w:color="auto" w:fill="auto"/>
            <w:noWrap/>
            <w:vAlign w:val="center"/>
            <w:hideMark/>
          </w:tcPr>
          <w:p w14:paraId="2DE143D5"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35F412DA"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6F84122E"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B3</w:t>
            </w:r>
          </w:p>
        </w:tc>
        <w:tc>
          <w:tcPr>
            <w:tcW w:w="570" w:type="pct"/>
            <w:shd w:val="clear" w:color="auto" w:fill="auto"/>
            <w:noWrap/>
            <w:vAlign w:val="bottom"/>
            <w:hideMark/>
          </w:tcPr>
          <w:p w14:paraId="38BA5883"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6</w:t>
            </w:r>
          </w:p>
        </w:tc>
      </w:tr>
      <w:tr w:rsidR="00A620FE" w:rsidRPr="0059755C" w14:paraId="067B8EFE" w14:textId="77777777" w:rsidTr="0034479B">
        <w:tc>
          <w:tcPr>
            <w:tcW w:w="625" w:type="pct"/>
            <w:vMerge w:val="restart"/>
            <w:shd w:val="clear" w:color="auto" w:fill="auto"/>
            <w:noWrap/>
            <w:vAlign w:val="center"/>
            <w:hideMark/>
          </w:tcPr>
          <w:p w14:paraId="0A70B74C" w14:textId="77777777" w:rsidR="00A620FE" w:rsidRPr="00BF1550" w:rsidRDefault="00A620FE" w:rsidP="0034479B">
            <w:pPr>
              <w:widowControl/>
              <w:autoSpaceDE/>
              <w:autoSpaceDN/>
              <w:rPr>
                <w:rFonts w:asciiTheme="majorBidi" w:hAnsiTheme="majorBidi" w:cstheme="majorBidi"/>
                <w:color w:val="000000"/>
                <w14:ligatures w14:val="none"/>
              </w:rPr>
            </w:pPr>
            <w:proofErr w:type="spellStart"/>
            <w:r w:rsidRPr="00BF1550">
              <w:rPr>
                <w:rFonts w:asciiTheme="majorBidi" w:hAnsiTheme="majorBidi" w:cstheme="majorBidi"/>
                <w:color w:val="000000"/>
                <w14:ligatures w14:val="none"/>
              </w:rPr>
              <w:t>Caa</w:t>
            </w:r>
            <w:proofErr w:type="spellEnd"/>
          </w:p>
        </w:tc>
        <w:tc>
          <w:tcPr>
            <w:tcW w:w="3235" w:type="pct"/>
            <w:vMerge w:val="restart"/>
            <w:shd w:val="clear" w:color="auto" w:fill="auto"/>
            <w:noWrap/>
            <w:vAlign w:val="center"/>
            <w:hideMark/>
          </w:tcPr>
          <w:p w14:paraId="2134898C"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Speculative of poor standing and subject to very high credit risk</w:t>
            </w:r>
          </w:p>
        </w:tc>
        <w:tc>
          <w:tcPr>
            <w:tcW w:w="570" w:type="pct"/>
            <w:shd w:val="clear" w:color="auto" w:fill="auto"/>
            <w:noWrap/>
            <w:vAlign w:val="bottom"/>
            <w:hideMark/>
          </w:tcPr>
          <w:p w14:paraId="778D7667"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Caa1</w:t>
            </w:r>
          </w:p>
        </w:tc>
        <w:tc>
          <w:tcPr>
            <w:tcW w:w="570" w:type="pct"/>
            <w:shd w:val="clear" w:color="auto" w:fill="auto"/>
            <w:noWrap/>
            <w:vAlign w:val="bottom"/>
            <w:hideMark/>
          </w:tcPr>
          <w:p w14:paraId="0904569E"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5</w:t>
            </w:r>
          </w:p>
        </w:tc>
      </w:tr>
      <w:tr w:rsidR="00A620FE" w:rsidRPr="0059755C" w14:paraId="0E0B2238" w14:textId="77777777" w:rsidTr="0034479B">
        <w:tc>
          <w:tcPr>
            <w:tcW w:w="625" w:type="pct"/>
            <w:vMerge/>
            <w:shd w:val="clear" w:color="auto" w:fill="auto"/>
            <w:noWrap/>
            <w:vAlign w:val="center"/>
            <w:hideMark/>
          </w:tcPr>
          <w:p w14:paraId="4D296477"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47FFF9EE"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4223EAFD"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Caa2</w:t>
            </w:r>
          </w:p>
        </w:tc>
        <w:tc>
          <w:tcPr>
            <w:tcW w:w="570" w:type="pct"/>
            <w:shd w:val="clear" w:color="auto" w:fill="auto"/>
            <w:noWrap/>
            <w:vAlign w:val="bottom"/>
            <w:hideMark/>
          </w:tcPr>
          <w:p w14:paraId="76FAC958"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4</w:t>
            </w:r>
          </w:p>
        </w:tc>
      </w:tr>
      <w:tr w:rsidR="00A620FE" w:rsidRPr="0059755C" w14:paraId="68E20E25" w14:textId="77777777" w:rsidTr="0034479B">
        <w:tc>
          <w:tcPr>
            <w:tcW w:w="625" w:type="pct"/>
            <w:vMerge/>
            <w:shd w:val="clear" w:color="auto" w:fill="auto"/>
            <w:noWrap/>
            <w:vAlign w:val="center"/>
            <w:hideMark/>
          </w:tcPr>
          <w:p w14:paraId="5C2C6B86" w14:textId="77777777" w:rsidR="00A620FE" w:rsidRPr="00BF1550" w:rsidRDefault="00A620FE" w:rsidP="0034479B">
            <w:pPr>
              <w:widowControl/>
              <w:autoSpaceDE/>
              <w:autoSpaceDN/>
              <w:rPr>
                <w:rFonts w:asciiTheme="majorBidi" w:hAnsiTheme="majorBidi" w:cstheme="majorBidi"/>
                <w14:ligatures w14:val="none"/>
              </w:rPr>
            </w:pPr>
          </w:p>
        </w:tc>
        <w:tc>
          <w:tcPr>
            <w:tcW w:w="3235" w:type="pct"/>
            <w:vMerge/>
            <w:shd w:val="clear" w:color="auto" w:fill="auto"/>
            <w:noWrap/>
            <w:vAlign w:val="center"/>
            <w:hideMark/>
          </w:tcPr>
          <w:p w14:paraId="2F25E1D3" w14:textId="77777777" w:rsidR="00A620FE" w:rsidRPr="00BF1550" w:rsidRDefault="00A620FE" w:rsidP="0034479B">
            <w:pPr>
              <w:widowControl/>
              <w:autoSpaceDE/>
              <w:autoSpaceDN/>
              <w:rPr>
                <w:rFonts w:asciiTheme="majorBidi" w:hAnsiTheme="majorBidi" w:cstheme="majorBidi"/>
                <w14:ligatures w14:val="none"/>
              </w:rPr>
            </w:pPr>
          </w:p>
        </w:tc>
        <w:tc>
          <w:tcPr>
            <w:tcW w:w="570" w:type="pct"/>
            <w:shd w:val="clear" w:color="auto" w:fill="auto"/>
            <w:noWrap/>
            <w:vAlign w:val="bottom"/>
            <w:hideMark/>
          </w:tcPr>
          <w:p w14:paraId="5B5535F1"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Caa3</w:t>
            </w:r>
          </w:p>
        </w:tc>
        <w:tc>
          <w:tcPr>
            <w:tcW w:w="570" w:type="pct"/>
            <w:shd w:val="clear" w:color="auto" w:fill="auto"/>
            <w:noWrap/>
            <w:vAlign w:val="bottom"/>
            <w:hideMark/>
          </w:tcPr>
          <w:p w14:paraId="6F0333AB"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3</w:t>
            </w:r>
          </w:p>
        </w:tc>
      </w:tr>
      <w:tr w:rsidR="00A620FE" w:rsidRPr="0059755C" w14:paraId="596E57A6" w14:textId="77777777" w:rsidTr="0034479B">
        <w:tc>
          <w:tcPr>
            <w:tcW w:w="625" w:type="pct"/>
            <w:shd w:val="clear" w:color="auto" w:fill="auto"/>
            <w:noWrap/>
            <w:vAlign w:val="center"/>
          </w:tcPr>
          <w:p w14:paraId="4345985A" w14:textId="77777777" w:rsidR="00A620FE" w:rsidRPr="0059755C" w:rsidRDefault="00A620FE" w:rsidP="0034479B">
            <w:pPr>
              <w:widowControl/>
              <w:autoSpaceDE/>
              <w:autoSpaceDN/>
              <w:rPr>
                <w:rFonts w:asciiTheme="majorBidi" w:hAnsiTheme="majorBidi" w:cstheme="majorBidi"/>
                <w14:ligatures w14:val="none"/>
              </w:rPr>
            </w:pPr>
            <w:r w:rsidRPr="00BF1550">
              <w:rPr>
                <w:rFonts w:asciiTheme="majorBidi" w:hAnsiTheme="majorBidi" w:cstheme="majorBidi"/>
                <w:color w:val="000000"/>
                <w14:ligatures w14:val="none"/>
              </w:rPr>
              <w:t>Ca</w:t>
            </w:r>
          </w:p>
        </w:tc>
        <w:tc>
          <w:tcPr>
            <w:tcW w:w="3235" w:type="pct"/>
            <w:shd w:val="clear" w:color="auto" w:fill="auto"/>
            <w:noWrap/>
            <w:vAlign w:val="center"/>
          </w:tcPr>
          <w:p w14:paraId="5FF298A6" w14:textId="77777777" w:rsidR="00A620FE" w:rsidRPr="0059755C" w:rsidRDefault="00A620FE" w:rsidP="0034479B">
            <w:pPr>
              <w:widowControl/>
              <w:autoSpaceDE/>
              <w:autoSpaceDN/>
              <w:rPr>
                <w:rFonts w:asciiTheme="majorBidi" w:hAnsiTheme="majorBidi" w:cstheme="majorBidi"/>
                <w14:ligatures w14:val="none"/>
              </w:rPr>
            </w:pPr>
            <w:r w:rsidRPr="00BF1550">
              <w:rPr>
                <w:rFonts w:asciiTheme="majorBidi" w:hAnsiTheme="majorBidi" w:cstheme="majorBidi"/>
                <w:color w:val="000000"/>
                <w14:ligatures w14:val="none"/>
              </w:rPr>
              <w:t>Speculative and likely in, or very near, default, with some prospect of recovery of principal and interest</w:t>
            </w:r>
          </w:p>
        </w:tc>
        <w:tc>
          <w:tcPr>
            <w:tcW w:w="570" w:type="pct"/>
            <w:shd w:val="clear" w:color="auto" w:fill="auto"/>
            <w:noWrap/>
            <w:vAlign w:val="bottom"/>
          </w:tcPr>
          <w:p w14:paraId="78D6FDFB" w14:textId="77777777" w:rsidR="00A620FE" w:rsidRPr="0059755C"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Ca</w:t>
            </w:r>
          </w:p>
        </w:tc>
        <w:tc>
          <w:tcPr>
            <w:tcW w:w="570" w:type="pct"/>
            <w:shd w:val="clear" w:color="auto" w:fill="auto"/>
            <w:noWrap/>
            <w:vAlign w:val="bottom"/>
          </w:tcPr>
          <w:p w14:paraId="6ADA72AD" w14:textId="77777777" w:rsidR="00A620FE" w:rsidRPr="0059755C"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2</w:t>
            </w:r>
          </w:p>
        </w:tc>
      </w:tr>
      <w:tr w:rsidR="00A620FE" w:rsidRPr="0059755C" w14:paraId="4EA5DA71" w14:textId="77777777" w:rsidTr="0034479B">
        <w:tc>
          <w:tcPr>
            <w:tcW w:w="625" w:type="pct"/>
            <w:tcBorders>
              <w:bottom w:val="single" w:sz="4" w:space="0" w:color="auto"/>
            </w:tcBorders>
            <w:shd w:val="clear" w:color="auto" w:fill="auto"/>
            <w:noWrap/>
            <w:vAlign w:val="center"/>
          </w:tcPr>
          <w:p w14:paraId="79255E6F"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C</w:t>
            </w:r>
          </w:p>
        </w:tc>
        <w:tc>
          <w:tcPr>
            <w:tcW w:w="3235" w:type="pct"/>
            <w:tcBorders>
              <w:bottom w:val="single" w:sz="4" w:space="0" w:color="auto"/>
            </w:tcBorders>
            <w:shd w:val="clear" w:color="auto" w:fill="auto"/>
            <w:noWrap/>
            <w:vAlign w:val="center"/>
          </w:tcPr>
          <w:p w14:paraId="29A4AE14"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The lowest rated and typically in default, with little prospect for recovery of principal or interest</w:t>
            </w:r>
          </w:p>
        </w:tc>
        <w:tc>
          <w:tcPr>
            <w:tcW w:w="570" w:type="pct"/>
            <w:tcBorders>
              <w:bottom w:val="single" w:sz="4" w:space="0" w:color="auto"/>
            </w:tcBorders>
            <w:shd w:val="clear" w:color="auto" w:fill="auto"/>
            <w:noWrap/>
            <w:vAlign w:val="bottom"/>
          </w:tcPr>
          <w:p w14:paraId="2DB70285" w14:textId="77777777" w:rsidR="00A620FE" w:rsidRPr="00BF1550" w:rsidRDefault="00A620FE" w:rsidP="0034479B">
            <w:pPr>
              <w:widowControl/>
              <w:autoSpaceDE/>
              <w:autoSpaceDN/>
              <w:rPr>
                <w:rFonts w:asciiTheme="majorBidi" w:hAnsiTheme="majorBidi" w:cstheme="majorBidi"/>
                <w:color w:val="000000"/>
                <w14:ligatures w14:val="none"/>
              </w:rPr>
            </w:pPr>
            <w:r w:rsidRPr="0059755C">
              <w:rPr>
                <w:rFonts w:asciiTheme="majorBidi" w:hAnsiTheme="majorBidi" w:cstheme="majorBidi"/>
                <w:color w:val="000000"/>
                <w14:ligatures w14:val="none"/>
              </w:rPr>
              <w:t>C</w:t>
            </w:r>
          </w:p>
        </w:tc>
        <w:tc>
          <w:tcPr>
            <w:tcW w:w="570" w:type="pct"/>
            <w:tcBorders>
              <w:bottom w:val="single" w:sz="4" w:space="0" w:color="auto"/>
            </w:tcBorders>
            <w:shd w:val="clear" w:color="auto" w:fill="auto"/>
            <w:noWrap/>
            <w:vAlign w:val="bottom"/>
          </w:tcPr>
          <w:p w14:paraId="60E86635"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1</w:t>
            </w:r>
          </w:p>
        </w:tc>
      </w:tr>
      <w:tr w:rsidR="00A620FE" w:rsidRPr="0059755C" w14:paraId="35D4448A" w14:textId="77777777" w:rsidTr="0034479B">
        <w:tc>
          <w:tcPr>
            <w:tcW w:w="625" w:type="pct"/>
            <w:tcBorders>
              <w:bottom w:val="single" w:sz="4" w:space="0" w:color="auto"/>
            </w:tcBorders>
            <w:shd w:val="clear" w:color="auto" w:fill="auto"/>
            <w:noWrap/>
            <w:vAlign w:val="center"/>
            <w:hideMark/>
          </w:tcPr>
          <w:p w14:paraId="4BB9FD10"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Not Rated</w:t>
            </w:r>
          </w:p>
        </w:tc>
        <w:tc>
          <w:tcPr>
            <w:tcW w:w="3235" w:type="pct"/>
            <w:tcBorders>
              <w:bottom w:val="single" w:sz="4" w:space="0" w:color="auto"/>
            </w:tcBorders>
            <w:shd w:val="clear" w:color="auto" w:fill="auto"/>
            <w:noWrap/>
            <w:vAlign w:val="center"/>
            <w:hideMark/>
          </w:tcPr>
          <w:p w14:paraId="392E2AC0"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Not Rated</w:t>
            </w:r>
          </w:p>
        </w:tc>
        <w:tc>
          <w:tcPr>
            <w:tcW w:w="570" w:type="pct"/>
            <w:tcBorders>
              <w:bottom w:val="single" w:sz="4" w:space="0" w:color="auto"/>
            </w:tcBorders>
            <w:shd w:val="clear" w:color="auto" w:fill="auto"/>
            <w:noWrap/>
            <w:vAlign w:val="bottom"/>
            <w:hideMark/>
          </w:tcPr>
          <w:p w14:paraId="3B2ADCB8" w14:textId="77777777" w:rsidR="00A620FE" w:rsidRPr="00BF1550" w:rsidRDefault="00A620FE" w:rsidP="0034479B">
            <w:pPr>
              <w:widowControl/>
              <w:autoSpaceDE/>
              <w:autoSpaceDN/>
              <w:rPr>
                <w:rFonts w:asciiTheme="majorBidi" w:hAnsiTheme="majorBidi" w:cstheme="majorBidi"/>
                <w:color w:val="000000"/>
                <w14:ligatures w14:val="none"/>
              </w:rPr>
            </w:pPr>
            <w:r w:rsidRPr="00BF1550">
              <w:rPr>
                <w:rFonts w:asciiTheme="majorBidi" w:hAnsiTheme="majorBidi" w:cstheme="majorBidi"/>
                <w:color w:val="000000"/>
                <w14:ligatures w14:val="none"/>
              </w:rPr>
              <w:t>NR</w:t>
            </w:r>
          </w:p>
        </w:tc>
        <w:tc>
          <w:tcPr>
            <w:tcW w:w="570" w:type="pct"/>
            <w:tcBorders>
              <w:bottom w:val="single" w:sz="4" w:space="0" w:color="auto"/>
            </w:tcBorders>
            <w:shd w:val="clear" w:color="auto" w:fill="auto"/>
            <w:noWrap/>
            <w:vAlign w:val="bottom"/>
            <w:hideMark/>
          </w:tcPr>
          <w:p w14:paraId="766257EE" w14:textId="77777777" w:rsidR="00A620FE" w:rsidRPr="00BF1550" w:rsidRDefault="00A620FE" w:rsidP="0034479B">
            <w:pPr>
              <w:widowControl/>
              <w:autoSpaceDE/>
              <w:autoSpaceDN/>
              <w:jc w:val="right"/>
              <w:rPr>
                <w:rFonts w:asciiTheme="majorBidi" w:hAnsiTheme="majorBidi" w:cstheme="majorBidi"/>
                <w:color w:val="000000"/>
                <w14:ligatures w14:val="none"/>
              </w:rPr>
            </w:pPr>
            <w:r w:rsidRPr="00BF1550">
              <w:rPr>
                <w:rFonts w:asciiTheme="majorBidi" w:hAnsiTheme="majorBidi" w:cstheme="majorBidi"/>
                <w:color w:val="000000"/>
                <w14:ligatures w14:val="none"/>
              </w:rPr>
              <w:t>0</w:t>
            </w:r>
          </w:p>
        </w:tc>
      </w:tr>
    </w:tbl>
    <w:p w14:paraId="26A38CFE" w14:textId="77777777" w:rsidR="00A620FE" w:rsidRDefault="00A620FE" w:rsidP="00495D4F">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62BF864B" w14:textId="77777777" w:rsidR="00495D4F" w:rsidRDefault="00495D4F" w:rsidP="00495D4F">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6E5AB0BB" w14:textId="77777777" w:rsidR="00495D4F" w:rsidRDefault="00495D4F" w:rsidP="00495D4F">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775241DC" w14:textId="77777777" w:rsidR="00495D4F" w:rsidRDefault="00495D4F" w:rsidP="00495D4F">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3207CDC3" w14:textId="77777777" w:rsidR="00495D4F" w:rsidRDefault="00495D4F" w:rsidP="00495D4F">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32332AD0" w14:textId="77777777" w:rsidR="00495D4F" w:rsidRDefault="00495D4F" w:rsidP="00495D4F">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052378D7" w14:textId="77777777" w:rsidR="00495D4F" w:rsidRDefault="00495D4F" w:rsidP="00495D4F">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66ADB274" w14:textId="77777777" w:rsidR="00495D4F" w:rsidRDefault="00495D4F" w:rsidP="00495D4F">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392389D3" w14:textId="2B563E5F" w:rsidR="009D3136" w:rsidRPr="00B67CC0" w:rsidRDefault="009D3136"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r w:rsidRPr="00B67CC0">
        <w:rPr>
          <w:rFonts w:asciiTheme="majorBidi" w:hAnsiTheme="majorBidi" w:cstheme="majorBidi"/>
          <w:b/>
          <w:bCs/>
          <w:sz w:val="24"/>
          <w:szCs w:val="24"/>
          <w14:ligatures w14:val="none"/>
        </w:rPr>
        <w:lastRenderedPageBreak/>
        <w:t>Appendix</w:t>
      </w:r>
      <w:r w:rsidR="00BC3546" w:rsidRPr="00B67CC0">
        <w:rPr>
          <w:rFonts w:asciiTheme="majorBidi" w:hAnsiTheme="majorBidi" w:cstheme="majorBidi"/>
          <w:b/>
          <w:bCs/>
          <w:sz w:val="24"/>
          <w:szCs w:val="24"/>
          <w14:ligatures w14:val="none"/>
        </w:rPr>
        <w:t xml:space="preserve"> </w:t>
      </w:r>
      <w:r w:rsidR="00FF0630" w:rsidRPr="00B67CC0">
        <w:rPr>
          <w:rFonts w:asciiTheme="majorBidi" w:hAnsiTheme="majorBidi" w:cstheme="majorBidi"/>
          <w:b/>
          <w:bCs/>
          <w:sz w:val="24"/>
          <w:szCs w:val="24"/>
          <w14:ligatures w14:val="none"/>
        </w:rPr>
        <w:t>C</w:t>
      </w:r>
      <w:r w:rsidRPr="00B67CC0">
        <w:rPr>
          <w:rFonts w:asciiTheme="majorBidi" w:hAnsiTheme="majorBidi" w:cstheme="majorBidi"/>
          <w:b/>
          <w:bCs/>
          <w:sz w:val="24"/>
          <w:szCs w:val="24"/>
          <w14:ligatures w14:val="none"/>
        </w:rPr>
        <w:t xml:space="preserve">: Variable </w:t>
      </w:r>
      <w:r w:rsidR="00D40DF2" w:rsidRPr="00B67CC0">
        <w:rPr>
          <w:rFonts w:asciiTheme="majorBidi" w:hAnsiTheme="majorBidi" w:cstheme="majorBidi"/>
          <w:b/>
          <w:bCs/>
          <w:sz w:val="24"/>
          <w:szCs w:val="24"/>
          <w14:ligatures w14:val="none"/>
        </w:rPr>
        <w:t>D</w:t>
      </w:r>
      <w:r w:rsidRPr="00B67CC0">
        <w:rPr>
          <w:rFonts w:asciiTheme="majorBidi" w:hAnsiTheme="majorBidi" w:cstheme="majorBidi"/>
          <w:b/>
          <w:bCs/>
          <w:sz w:val="24"/>
          <w:szCs w:val="24"/>
          <w14:ligatures w14:val="none"/>
        </w:rPr>
        <w:t>efinitions</w:t>
      </w:r>
    </w:p>
    <w:tbl>
      <w:tblPr>
        <w:tblW w:w="5000" w:type="pct"/>
        <w:tblBorders>
          <w:bottom w:val="single" w:sz="4" w:space="0" w:color="auto"/>
          <w:insideH w:val="single" w:sz="4" w:space="0" w:color="auto"/>
        </w:tblBorders>
        <w:tblLayout w:type="fixed"/>
        <w:tblLook w:val="04A0" w:firstRow="1" w:lastRow="0" w:firstColumn="1" w:lastColumn="0" w:noHBand="0" w:noVBand="1"/>
      </w:tblPr>
      <w:tblGrid>
        <w:gridCol w:w="2608"/>
        <w:gridCol w:w="6752"/>
      </w:tblGrid>
      <w:tr w:rsidR="009D3136" w:rsidRPr="00B67CC0" w14:paraId="0D720A98" w14:textId="77777777" w:rsidTr="009D3136">
        <w:tc>
          <w:tcPr>
            <w:tcW w:w="1393" w:type="pct"/>
            <w:tcBorders>
              <w:top w:val="double" w:sz="4" w:space="0" w:color="auto"/>
            </w:tcBorders>
          </w:tcPr>
          <w:p w14:paraId="236B2657"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CAR</w:t>
            </w:r>
          </w:p>
        </w:tc>
        <w:tc>
          <w:tcPr>
            <w:tcW w:w="3607" w:type="pct"/>
            <w:tcBorders>
              <w:top w:val="double" w:sz="4" w:space="0" w:color="auto"/>
            </w:tcBorders>
            <w:shd w:val="clear" w:color="auto" w:fill="auto"/>
            <w:noWrap/>
            <w:vAlign w:val="center"/>
          </w:tcPr>
          <w:p w14:paraId="60AAA468" w14:textId="447E3EE3"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Cumulative abnormal stock return for the time interval (−1, 0, 1) around the SEO announcement for firm i .</w:t>
            </w:r>
          </w:p>
        </w:tc>
      </w:tr>
      <w:tr w:rsidR="009D3136" w:rsidRPr="00B67CC0" w14:paraId="4F01A8B6" w14:textId="77777777" w:rsidTr="009D3136">
        <w:tc>
          <w:tcPr>
            <w:tcW w:w="1393" w:type="pct"/>
          </w:tcPr>
          <w:p w14:paraId="6B0D1067"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Underpricing</w:t>
            </w:r>
          </w:p>
        </w:tc>
        <w:tc>
          <w:tcPr>
            <w:tcW w:w="3607" w:type="pct"/>
            <w:shd w:val="clear" w:color="auto" w:fill="auto"/>
            <w:noWrap/>
            <w:vAlign w:val="center"/>
          </w:tcPr>
          <w:p w14:paraId="6F3B3F8B"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 xml:space="preserve">The closing market price on the offer day </w:t>
            </w:r>
            <w:proofErr w:type="gramStart"/>
            <w:r w:rsidRPr="00B67CC0">
              <w:rPr>
                <w:rFonts w:asciiTheme="majorBidi" w:hAnsiTheme="majorBidi" w:cstheme="majorBidi"/>
                <w:color w:val="000000"/>
                <w:sz w:val="24"/>
                <w:szCs w:val="24"/>
                <w14:ligatures w14:val="none"/>
              </w:rPr>
              <w:t>minus</w:t>
            </w:r>
            <w:proofErr w:type="gramEnd"/>
            <w:r w:rsidRPr="00B67CC0">
              <w:rPr>
                <w:rFonts w:asciiTheme="majorBidi" w:hAnsiTheme="majorBidi" w:cstheme="majorBidi"/>
                <w:color w:val="000000"/>
                <w:sz w:val="24"/>
                <w:szCs w:val="24"/>
                <w14:ligatures w14:val="none"/>
              </w:rPr>
              <w:t xml:space="preserve"> the offer price, divided by the offer price for firm </w:t>
            </w:r>
            <w:proofErr w:type="gramStart"/>
            <w:r w:rsidRPr="00B67CC0">
              <w:rPr>
                <w:rFonts w:asciiTheme="majorBidi" w:hAnsiTheme="majorBidi" w:cstheme="majorBidi"/>
                <w:color w:val="000000"/>
                <w:sz w:val="24"/>
                <w:szCs w:val="24"/>
                <w14:ligatures w14:val="none"/>
              </w:rPr>
              <w:t>i .</w:t>
            </w:r>
            <w:proofErr w:type="gramEnd"/>
          </w:p>
        </w:tc>
      </w:tr>
      <w:tr w:rsidR="009D3136" w:rsidRPr="00B67CC0" w14:paraId="5FEA6B6F" w14:textId="77777777" w:rsidTr="009D3136">
        <w:tc>
          <w:tcPr>
            <w:tcW w:w="1393" w:type="pct"/>
          </w:tcPr>
          <w:p w14:paraId="0DB239A5"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Firm Size</w:t>
            </w:r>
          </w:p>
        </w:tc>
        <w:tc>
          <w:tcPr>
            <w:tcW w:w="3607" w:type="pct"/>
            <w:shd w:val="clear" w:color="auto" w:fill="auto"/>
            <w:noWrap/>
            <w:vAlign w:val="center"/>
            <w:hideMark/>
          </w:tcPr>
          <w:p w14:paraId="095A1529" w14:textId="5D8C45C0" w:rsidR="009D3136" w:rsidRPr="00B67CC0" w:rsidRDefault="00D40DF2"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This is measured as the natural logarithm of the book value of total assets for firm i in the year before</w:t>
            </w:r>
            <w:r w:rsidR="009D3136" w:rsidRPr="00B67CC0">
              <w:rPr>
                <w:rFonts w:asciiTheme="majorBidi" w:hAnsiTheme="majorBidi" w:cstheme="majorBidi"/>
                <w:color w:val="000000"/>
                <w:sz w:val="24"/>
                <w:szCs w:val="24"/>
                <w14:ligatures w14:val="none"/>
              </w:rPr>
              <w:t xml:space="preserve"> the SEO announcement.</w:t>
            </w:r>
          </w:p>
        </w:tc>
      </w:tr>
      <w:tr w:rsidR="009D3136" w:rsidRPr="00B67CC0" w14:paraId="7C6E8CBD" w14:textId="77777777" w:rsidTr="009D3136">
        <w:tc>
          <w:tcPr>
            <w:tcW w:w="1393" w:type="pct"/>
          </w:tcPr>
          <w:p w14:paraId="3F285B3D"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Market-to-Book Value</w:t>
            </w:r>
          </w:p>
        </w:tc>
        <w:tc>
          <w:tcPr>
            <w:tcW w:w="3607" w:type="pct"/>
            <w:shd w:val="clear" w:color="auto" w:fill="auto"/>
            <w:noWrap/>
            <w:vAlign w:val="center"/>
            <w:hideMark/>
          </w:tcPr>
          <w:p w14:paraId="0A410BCE"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 xml:space="preserve">Calculated as the market value of equity divided by the book value of equity for firm </w:t>
            </w:r>
            <w:r w:rsidRPr="00B67CC0">
              <w:rPr>
                <w:rFonts w:asciiTheme="majorBidi" w:hAnsiTheme="majorBidi" w:cstheme="majorBidi"/>
                <w:i/>
                <w:iCs/>
                <w:color w:val="000000"/>
                <w:sz w:val="24"/>
                <w:szCs w:val="24"/>
                <w14:ligatures w14:val="none"/>
              </w:rPr>
              <w:t>i</w:t>
            </w:r>
            <w:r w:rsidRPr="00B67CC0">
              <w:rPr>
                <w:rFonts w:asciiTheme="majorBidi" w:hAnsiTheme="majorBidi" w:cstheme="majorBidi"/>
                <w:color w:val="000000"/>
                <w:sz w:val="24"/>
                <w:szCs w:val="24"/>
                <w14:ligatures w14:val="none"/>
              </w:rPr>
              <w:t xml:space="preserve"> in the year prior to the SEO announcement.</w:t>
            </w:r>
          </w:p>
        </w:tc>
      </w:tr>
      <w:tr w:rsidR="009D3136" w:rsidRPr="00B67CC0" w14:paraId="61A055AA" w14:textId="77777777" w:rsidTr="009D3136">
        <w:tc>
          <w:tcPr>
            <w:tcW w:w="1393" w:type="pct"/>
          </w:tcPr>
          <w:p w14:paraId="381A23A0"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Leverage</w:t>
            </w:r>
          </w:p>
        </w:tc>
        <w:tc>
          <w:tcPr>
            <w:tcW w:w="3607" w:type="pct"/>
            <w:shd w:val="clear" w:color="auto" w:fill="auto"/>
            <w:noWrap/>
            <w:vAlign w:val="center"/>
            <w:hideMark/>
          </w:tcPr>
          <w:p w14:paraId="5DD5796E" w14:textId="28103776"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 xml:space="preserve">Defined as the ratio of the book value of long-term debt to the book value of total assets for firm </w:t>
            </w:r>
            <w:r w:rsidRPr="00B67CC0">
              <w:rPr>
                <w:rFonts w:asciiTheme="majorBidi" w:hAnsiTheme="majorBidi" w:cstheme="majorBidi"/>
                <w:i/>
                <w:iCs/>
                <w:color w:val="000000"/>
                <w:sz w:val="24"/>
                <w:szCs w:val="24"/>
                <w14:ligatures w14:val="none"/>
              </w:rPr>
              <w:t>i</w:t>
            </w:r>
            <w:r w:rsidRPr="00B67CC0">
              <w:rPr>
                <w:rFonts w:asciiTheme="majorBidi" w:hAnsiTheme="majorBidi" w:cstheme="majorBidi"/>
                <w:color w:val="000000"/>
                <w:sz w:val="24"/>
                <w:szCs w:val="24"/>
                <w14:ligatures w14:val="none"/>
              </w:rPr>
              <w:t xml:space="preserve"> in the year </w:t>
            </w:r>
            <w:r w:rsidR="00D40DF2" w:rsidRPr="00B67CC0">
              <w:rPr>
                <w:rFonts w:asciiTheme="majorBidi" w:hAnsiTheme="majorBidi" w:cstheme="majorBidi"/>
                <w:color w:val="000000"/>
                <w:sz w:val="24"/>
                <w:szCs w:val="24"/>
                <w14:ligatures w14:val="none"/>
              </w:rPr>
              <w:t>before</w:t>
            </w:r>
            <w:r w:rsidRPr="00B67CC0">
              <w:rPr>
                <w:rFonts w:asciiTheme="majorBidi" w:hAnsiTheme="majorBidi" w:cstheme="majorBidi"/>
                <w:color w:val="000000"/>
                <w:sz w:val="24"/>
                <w:szCs w:val="24"/>
                <w14:ligatures w14:val="none"/>
              </w:rPr>
              <w:t xml:space="preserve"> the SEO announcement.</w:t>
            </w:r>
          </w:p>
        </w:tc>
      </w:tr>
      <w:tr w:rsidR="009D3136" w:rsidRPr="00B67CC0" w14:paraId="19EF4702" w14:textId="77777777" w:rsidTr="009D3136">
        <w:tc>
          <w:tcPr>
            <w:tcW w:w="1393" w:type="pct"/>
          </w:tcPr>
          <w:p w14:paraId="5F033964"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Relative Offer Size</w:t>
            </w:r>
          </w:p>
        </w:tc>
        <w:tc>
          <w:tcPr>
            <w:tcW w:w="3607" w:type="pct"/>
            <w:shd w:val="clear" w:color="auto" w:fill="auto"/>
            <w:noWrap/>
            <w:vAlign w:val="center"/>
            <w:hideMark/>
          </w:tcPr>
          <w:p w14:paraId="19BD9AFB"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 xml:space="preserve">The ratio of the number of shares offered to the total shares outstanding for firm </w:t>
            </w:r>
            <w:r w:rsidRPr="00B67CC0">
              <w:rPr>
                <w:rFonts w:asciiTheme="majorBidi" w:hAnsiTheme="majorBidi" w:cstheme="majorBidi"/>
                <w:i/>
                <w:iCs/>
                <w:color w:val="000000"/>
                <w:sz w:val="24"/>
                <w:szCs w:val="24"/>
                <w14:ligatures w14:val="none"/>
              </w:rPr>
              <w:t>i</w:t>
            </w:r>
            <w:r w:rsidRPr="00B67CC0">
              <w:rPr>
                <w:rFonts w:asciiTheme="majorBidi" w:hAnsiTheme="majorBidi" w:cstheme="majorBidi"/>
                <w:color w:val="000000"/>
                <w:sz w:val="24"/>
                <w:szCs w:val="24"/>
                <w14:ligatures w14:val="none"/>
              </w:rPr>
              <w:t xml:space="preserve"> in the year prior to the SEO announcement.</w:t>
            </w:r>
          </w:p>
        </w:tc>
      </w:tr>
      <w:tr w:rsidR="009D3136" w:rsidRPr="00B67CC0" w14:paraId="6082BCA9" w14:textId="77777777" w:rsidTr="009D3136">
        <w:tc>
          <w:tcPr>
            <w:tcW w:w="1393" w:type="pct"/>
          </w:tcPr>
          <w:p w14:paraId="0B83D792"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Stock Price Runup</w:t>
            </w:r>
          </w:p>
        </w:tc>
        <w:tc>
          <w:tcPr>
            <w:tcW w:w="3607" w:type="pct"/>
            <w:shd w:val="clear" w:color="auto" w:fill="auto"/>
            <w:noWrap/>
            <w:vAlign w:val="center"/>
            <w:hideMark/>
          </w:tcPr>
          <w:p w14:paraId="5BF1A639" w14:textId="6CD86C02"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 xml:space="preserve">Stock returns over the </w:t>
            </w:r>
            <w:r w:rsidR="00D636B5" w:rsidRPr="00B67CC0">
              <w:rPr>
                <w:rFonts w:asciiTheme="majorBidi" w:hAnsiTheme="majorBidi" w:cstheme="majorBidi"/>
                <w:color w:val="000000"/>
                <w:sz w:val="24"/>
                <w:szCs w:val="24"/>
                <w14:ligatures w14:val="none"/>
              </w:rPr>
              <w:t>one hundred</w:t>
            </w:r>
            <w:r w:rsidRPr="00B67CC0">
              <w:rPr>
                <w:rFonts w:asciiTheme="majorBidi" w:hAnsiTheme="majorBidi" w:cstheme="majorBidi"/>
                <w:color w:val="000000"/>
                <w:sz w:val="24"/>
                <w:szCs w:val="24"/>
                <w14:ligatures w14:val="none"/>
              </w:rPr>
              <w:t xml:space="preserve"> trading days preceding the SEO announcement for firm </w:t>
            </w:r>
            <w:r w:rsidRPr="00B67CC0">
              <w:rPr>
                <w:rFonts w:asciiTheme="majorBidi" w:hAnsiTheme="majorBidi" w:cstheme="majorBidi"/>
                <w:i/>
                <w:iCs/>
                <w:color w:val="000000"/>
                <w:sz w:val="24"/>
                <w:szCs w:val="24"/>
                <w14:ligatures w14:val="none"/>
              </w:rPr>
              <w:t>i</w:t>
            </w:r>
            <w:r w:rsidRPr="00B67CC0">
              <w:rPr>
                <w:rFonts w:asciiTheme="majorBidi" w:hAnsiTheme="majorBidi" w:cstheme="majorBidi"/>
                <w:color w:val="000000"/>
                <w:sz w:val="24"/>
                <w:szCs w:val="24"/>
                <w14:ligatures w14:val="none"/>
              </w:rPr>
              <w:t>.</w:t>
            </w:r>
          </w:p>
        </w:tc>
      </w:tr>
      <w:tr w:rsidR="009D3136" w:rsidRPr="00B67CC0" w14:paraId="4ADA63B5" w14:textId="77777777" w:rsidTr="009D3136">
        <w:tc>
          <w:tcPr>
            <w:tcW w:w="1393" w:type="pct"/>
          </w:tcPr>
          <w:p w14:paraId="128C8513"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Market Runup</w:t>
            </w:r>
          </w:p>
        </w:tc>
        <w:tc>
          <w:tcPr>
            <w:tcW w:w="3607" w:type="pct"/>
            <w:shd w:val="clear" w:color="auto" w:fill="auto"/>
            <w:noWrap/>
            <w:vAlign w:val="center"/>
            <w:hideMark/>
          </w:tcPr>
          <w:p w14:paraId="33D9F009" w14:textId="547DA18E"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 xml:space="preserve">Market returns over the </w:t>
            </w:r>
            <w:r w:rsidR="00D636B5" w:rsidRPr="00B67CC0">
              <w:rPr>
                <w:rFonts w:asciiTheme="majorBidi" w:hAnsiTheme="majorBidi" w:cstheme="majorBidi"/>
                <w:color w:val="000000"/>
                <w:sz w:val="24"/>
                <w:szCs w:val="24"/>
                <w14:ligatures w14:val="none"/>
              </w:rPr>
              <w:t>one hundred</w:t>
            </w:r>
            <w:r w:rsidRPr="00B67CC0">
              <w:rPr>
                <w:rFonts w:asciiTheme="majorBidi" w:hAnsiTheme="majorBidi" w:cstheme="majorBidi"/>
                <w:color w:val="000000"/>
                <w:sz w:val="24"/>
                <w:szCs w:val="24"/>
                <w14:ligatures w14:val="none"/>
              </w:rPr>
              <w:t xml:space="preserve"> trading days preceding the SEO announcement for firm </w:t>
            </w:r>
            <w:r w:rsidRPr="00B67CC0">
              <w:rPr>
                <w:rFonts w:asciiTheme="majorBidi" w:hAnsiTheme="majorBidi" w:cstheme="majorBidi"/>
                <w:i/>
                <w:iCs/>
                <w:color w:val="000000"/>
                <w:sz w:val="24"/>
                <w:szCs w:val="24"/>
                <w14:ligatures w14:val="none"/>
              </w:rPr>
              <w:t>i</w:t>
            </w:r>
            <w:r w:rsidRPr="00B67CC0">
              <w:rPr>
                <w:rFonts w:asciiTheme="majorBidi" w:hAnsiTheme="majorBidi" w:cstheme="majorBidi"/>
                <w:color w:val="000000"/>
                <w:sz w:val="24"/>
                <w:szCs w:val="24"/>
                <w14:ligatures w14:val="none"/>
              </w:rPr>
              <w:t>.</w:t>
            </w:r>
          </w:p>
        </w:tc>
      </w:tr>
      <w:tr w:rsidR="009D3136" w:rsidRPr="00B67CC0" w14:paraId="04558CC6" w14:textId="77777777" w:rsidTr="009D3136">
        <w:tc>
          <w:tcPr>
            <w:tcW w:w="1393" w:type="pct"/>
          </w:tcPr>
          <w:p w14:paraId="372FF9CF"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Slack</w:t>
            </w:r>
          </w:p>
        </w:tc>
        <w:tc>
          <w:tcPr>
            <w:tcW w:w="3607" w:type="pct"/>
            <w:shd w:val="clear" w:color="auto" w:fill="auto"/>
            <w:noWrap/>
            <w:vAlign w:val="center"/>
            <w:hideMark/>
          </w:tcPr>
          <w:p w14:paraId="468F58FC" w14:textId="5F748BD7" w:rsidR="009D3136" w:rsidRPr="00B67CC0" w:rsidRDefault="001B35D5"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This is m</w:t>
            </w:r>
            <w:r w:rsidR="009D3136" w:rsidRPr="00B67CC0">
              <w:rPr>
                <w:rFonts w:asciiTheme="majorBidi" w:hAnsiTheme="majorBidi" w:cstheme="majorBidi"/>
                <w:color w:val="000000"/>
                <w:sz w:val="24"/>
                <w:szCs w:val="24"/>
                <w14:ligatures w14:val="none"/>
              </w:rPr>
              <w:t xml:space="preserve">easured as cash and short-term investments divided by total assets for firm </w:t>
            </w:r>
            <w:r w:rsidR="009D3136" w:rsidRPr="00B67CC0">
              <w:rPr>
                <w:rFonts w:asciiTheme="majorBidi" w:hAnsiTheme="majorBidi" w:cstheme="majorBidi"/>
                <w:i/>
                <w:iCs/>
                <w:color w:val="000000"/>
                <w:sz w:val="24"/>
                <w:szCs w:val="24"/>
                <w14:ligatures w14:val="none"/>
              </w:rPr>
              <w:t>i</w:t>
            </w:r>
            <w:r w:rsidR="009D3136" w:rsidRPr="00B67CC0">
              <w:rPr>
                <w:rFonts w:asciiTheme="majorBidi" w:hAnsiTheme="majorBidi" w:cstheme="majorBidi"/>
                <w:color w:val="000000"/>
                <w:sz w:val="24"/>
                <w:szCs w:val="24"/>
                <w14:ligatures w14:val="none"/>
              </w:rPr>
              <w:t xml:space="preserve"> in the year </w:t>
            </w:r>
            <w:r w:rsidR="00D40DF2" w:rsidRPr="00B67CC0">
              <w:rPr>
                <w:rFonts w:asciiTheme="majorBidi" w:hAnsiTheme="majorBidi" w:cstheme="majorBidi"/>
                <w:color w:val="000000"/>
                <w:sz w:val="24"/>
                <w:szCs w:val="24"/>
                <w14:ligatures w14:val="none"/>
              </w:rPr>
              <w:t>before</w:t>
            </w:r>
            <w:r w:rsidR="009D3136" w:rsidRPr="00B67CC0">
              <w:rPr>
                <w:rFonts w:asciiTheme="majorBidi" w:hAnsiTheme="majorBidi" w:cstheme="majorBidi"/>
                <w:color w:val="000000"/>
                <w:sz w:val="24"/>
                <w:szCs w:val="24"/>
                <w14:ligatures w14:val="none"/>
              </w:rPr>
              <w:t xml:space="preserve"> the SEO announcement.</w:t>
            </w:r>
          </w:p>
        </w:tc>
      </w:tr>
      <w:tr w:rsidR="009D3136" w:rsidRPr="00B67CC0" w14:paraId="11DF7738" w14:textId="77777777" w:rsidTr="009D3136">
        <w:tc>
          <w:tcPr>
            <w:tcW w:w="1393" w:type="pct"/>
          </w:tcPr>
          <w:p w14:paraId="61063782"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Secondary Shares</w:t>
            </w:r>
          </w:p>
        </w:tc>
        <w:tc>
          <w:tcPr>
            <w:tcW w:w="3607" w:type="pct"/>
            <w:shd w:val="clear" w:color="auto" w:fill="auto"/>
            <w:noWrap/>
            <w:vAlign w:val="center"/>
            <w:hideMark/>
          </w:tcPr>
          <w:p w14:paraId="468C5D2E"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 xml:space="preserve">The percentage of SEO shares sold by existing shareholders </w:t>
            </w:r>
            <w:proofErr w:type="gramStart"/>
            <w:r w:rsidRPr="00B67CC0">
              <w:rPr>
                <w:rFonts w:asciiTheme="majorBidi" w:hAnsiTheme="majorBidi" w:cstheme="majorBidi"/>
                <w:color w:val="000000"/>
                <w:sz w:val="24"/>
                <w:szCs w:val="24"/>
                <w14:ligatures w14:val="none"/>
              </w:rPr>
              <w:t>relative</w:t>
            </w:r>
            <w:proofErr w:type="gramEnd"/>
            <w:r w:rsidRPr="00B67CC0">
              <w:rPr>
                <w:rFonts w:asciiTheme="majorBidi" w:hAnsiTheme="majorBidi" w:cstheme="majorBidi"/>
                <w:color w:val="000000"/>
                <w:sz w:val="24"/>
                <w:szCs w:val="24"/>
                <w14:ligatures w14:val="none"/>
              </w:rPr>
              <w:t xml:space="preserve"> to the total SEO shares offered for firm </w:t>
            </w:r>
            <w:r w:rsidRPr="00B67CC0">
              <w:rPr>
                <w:rFonts w:asciiTheme="majorBidi" w:hAnsiTheme="majorBidi" w:cstheme="majorBidi"/>
                <w:i/>
                <w:iCs/>
                <w:color w:val="000000"/>
                <w:sz w:val="24"/>
                <w:szCs w:val="24"/>
                <w14:ligatures w14:val="none"/>
              </w:rPr>
              <w:t>i</w:t>
            </w:r>
            <w:r w:rsidRPr="00B67CC0">
              <w:rPr>
                <w:rFonts w:asciiTheme="majorBidi" w:hAnsiTheme="majorBidi" w:cstheme="majorBidi"/>
                <w:color w:val="000000"/>
                <w:sz w:val="24"/>
                <w:szCs w:val="24"/>
                <w14:ligatures w14:val="none"/>
              </w:rPr>
              <w:t xml:space="preserve"> in the year of the SEO announcement.</w:t>
            </w:r>
          </w:p>
        </w:tc>
      </w:tr>
      <w:tr w:rsidR="009D3136" w:rsidRPr="00B67CC0" w14:paraId="57ABBD26" w14:textId="77777777" w:rsidTr="009D3136">
        <w:tc>
          <w:tcPr>
            <w:tcW w:w="1393" w:type="pct"/>
          </w:tcPr>
          <w:p w14:paraId="44ED5A16"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Information asymmetry</w:t>
            </w:r>
          </w:p>
        </w:tc>
        <w:tc>
          <w:tcPr>
            <w:tcW w:w="3607" w:type="pct"/>
            <w:shd w:val="clear" w:color="auto" w:fill="auto"/>
            <w:noWrap/>
            <w:vAlign w:val="center"/>
            <w:hideMark/>
          </w:tcPr>
          <w:p w14:paraId="60A5E76A" w14:textId="14918C3C" w:rsidR="009D3136" w:rsidRPr="00B67CC0" w:rsidRDefault="001140EB"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 xml:space="preserve">The standard deviation of the market model residuals is calculated </w:t>
            </w:r>
            <w:r w:rsidR="009D3136" w:rsidRPr="00B67CC0">
              <w:rPr>
                <w:rFonts w:asciiTheme="majorBidi" w:hAnsiTheme="majorBidi" w:cstheme="majorBidi"/>
                <w:color w:val="000000"/>
                <w:sz w:val="24"/>
                <w:szCs w:val="24"/>
                <w14:ligatures w14:val="none"/>
              </w:rPr>
              <w:t>using daily returns from the previous year for firm i .</w:t>
            </w:r>
          </w:p>
        </w:tc>
      </w:tr>
      <w:tr w:rsidR="009D3136" w:rsidRPr="00B67CC0" w14:paraId="015F3359" w14:textId="77777777" w:rsidTr="009D3136">
        <w:tc>
          <w:tcPr>
            <w:tcW w:w="1393" w:type="pct"/>
          </w:tcPr>
          <w:p w14:paraId="72844D5E"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Number of analysts</w:t>
            </w:r>
          </w:p>
        </w:tc>
        <w:tc>
          <w:tcPr>
            <w:tcW w:w="3607" w:type="pct"/>
            <w:shd w:val="clear" w:color="auto" w:fill="auto"/>
            <w:noWrap/>
            <w:vAlign w:val="center"/>
            <w:hideMark/>
          </w:tcPr>
          <w:p w14:paraId="589904EF" w14:textId="714D8474"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 xml:space="preserve">the total number of analysts following the issuer in the year </w:t>
            </w:r>
            <w:r w:rsidR="001140EB" w:rsidRPr="00B67CC0">
              <w:rPr>
                <w:rFonts w:asciiTheme="majorBidi" w:hAnsiTheme="majorBidi" w:cstheme="majorBidi"/>
                <w:color w:val="000000"/>
                <w:sz w:val="24"/>
                <w:szCs w:val="24"/>
                <w14:ligatures w14:val="none"/>
              </w:rPr>
              <w:t>before</w:t>
            </w:r>
            <w:r w:rsidRPr="00B67CC0">
              <w:rPr>
                <w:rFonts w:asciiTheme="majorBidi" w:hAnsiTheme="majorBidi" w:cstheme="majorBidi"/>
                <w:color w:val="000000"/>
                <w:sz w:val="24"/>
                <w:szCs w:val="24"/>
                <w14:ligatures w14:val="none"/>
              </w:rPr>
              <w:t xml:space="preserve"> the SEO deal. </w:t>
            </w:r>
          </w:p>
        </w:tc>
      </w:tr>
      <w:tr w:rsidR="009D3136" w:rsidRPr="00B67CC0" w14:paraId="79622858" w14:textId="77777777" w:rsidTr="009D3136">
        <w:tc>
          <w:tcPr>
            <w:tcW w:w="1393" w:type="pct"/>
          </w:tcPr>
          <w:p w14:paraId="3C418DBC"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Lagged Price</w:t>
            </w:r>
          </w:p>
        </w:tc>
        <w:tc>
          <w:tcPr>
            <w:tcW w:w="3607" w:type="pct"/>
            <w:shd w:val="clear" w:color="auto" w:fill="auto"/>
            <w:noWrap/>
            <w:vAlign w:val="center"/>
            <w:hideMark/>
          </w:tcPr>
          <w:p w14:paraId="39E74C2D"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Log of the closing price on the day before the offer date.</w:t>
            </w:r>
          </w:p>
        </w:tc>
      </w:tr>
      <w:tr w:rsidR="009D3136" w:rsidRPr="00B67CC0" w14:paraId="28544081" w14:textId="77777777" w:rsidTr="009D3136">
        <w:tc>
          <w:tcPr>
            <w:tcW w:w="1393" w:type="pct"/>
          </w:tcPr>
          <w:p w14:paraId="45B2BB8B"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Industry Effect</w:t>
            </w:r>
          </w:p>
        </w:tc>
        <w:tc>
          <w:tcPr>
            <w:tcW w:w="3607" w:type="pct"/>
            <w:shd w:val="clear" w:color="auto" w:fill="auto"/>
            <w:noWrap/>
            <w:vAlign w:val="center"/>
            <w:hideMark/>
          </w:tcPr>
          <w:p w14:paraId="74D19BD5"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Dummy variables control for unobserved heterogeneity across industries.</w:t>
            </w:r>
          </w:p>
        </w:tc>
      </w:tr>
      <w:tr w:rsidR="009D3136" w:rsidRPr="00B67CC0" w14:paraId="137F5C50" w14:textId="77777777" w:rsidTr="009D3136">
        <w:tc>
          <w:tcPr>
            <w:tcW w:w="1393" w:type="pct"/>
          </w:tcPr>
          <w:p w14:paraId="433B4DBC"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Year Effect</w:t>
            </w:r>
          </w:p>
        </w:tc>
        <w:tc>
          <w:tcPr>
            <w:tcW w:w="3607" w:type="pct"/>
            <w:shd w:val="clear" w:color="auto" w:fill="auto"/>
            <w:noWrap/>
            <w:vAlign w:val="center"/>
            <w:hideMark/>
          </w:tcPr>
          <w:p w14:paraId="5521F9F7" w14:textId="77777777" w:rsidR="009D3136" w:rsidRPr="00B67CC0" w:rsidRDefault="009D3136" w:rsidP="003F41AE">
            <w:pPr>
              <w:widowControl/>
              <w:autoSpaceDE/>
              <w:autoSpaceDN/>
              <w:jc w:val="both"/>
              <w:rPr>
                <w:rFonts w:asciiTheme="majorBidi" w:hAnsiTheme="majorBidi" w:cstheme="majorBidi"/>
                <w:color w:val="000000"/>
                <w:sz w:val="24"/>
                <w:szCs w:val="24"/>
                <w14:ligatures w14:val="none"/>
              </w:rPr>
            </w:pPr>
            <w:r w:rsidRPr="00B67CC0">
              <w:rPr>
                <w:rFonts w:asciiTheme="majorBidi" w:hAnsiTheme="majorBidi" w:cstheme="majorBidi"/>
                <w:color w:val="000000"/>
                <w:sz w:val="24"/>
                <w:szCs w:val="24"/>
                <w14:ligatures w14:val="none"/>
              </w:rPr>
              <w:t>Dummy variables control for unobserved heterogeneity across time.</w:t>
            </w:r>
          </w:p>
        </w:tc>
      </w:tr>
    </w:tbl>
    <w:p w14:paraId="18052BE7" w14:textId="77777777" w:rsidR="009D3136" w:rsidRPr="00B67CC0" w:rsidRDefault="009D3136" w:rsidP="003F41AE">
      <w:pPr>
        <w:widowControl/>
        <w:autoSpaceDE/>
        <w:autoSpaceDN/>
        <w:spacing w:before="100" w:beforeAutospacing="1" w:after="100" w:afterAutospacing="1"/>
        <w:jc w:val="both"/>
        <w:rPr>
          <w:rFonts w:asciiTheme="majorBidi" w:hAnsiTheme="majorBidi" w:cstheme="majorBidi"/>
          <w:b/>
          <w:bCs/>
          <w:sz w:val="24"/>
          <w:szCs w:val="24"/>
          <w14:ligatures w14:val="none"/>
        </w:rPr>
      </w:pPr>
    </w:p>
    <w:p w14:paraId="5D6E3524" w14:textId="77777777" w:rsidR="003872B3" w:rsidRDefault="003872B3" w:rsidP="003F41AE">
      <w:pPr>
        <w:adjustRightInd w:val="0"/>
        <w:jc w:val="both"/>
        <w:rPr>
          <w:rFonts w:asciiTheme="majorBidi" w:hAnsiTheme="majorBidi" w:cstheme="majorBidi"/>
          <w:rtl/>
        </w:rPr>
      </w:pPr>
    </w:p>
    <w:p w14:paraId="57979F89" w14:textId="77777777" w:rsidR="00DA6064" w:rsidRDefault="00DA6064" w:rsidP="003F41AE">
      <w:pPr>
        <w:adjustRightInd w:val="0"/>
        <w:jc w:val="both"/>
        <w:rPr>
          <w:rFonts w:asciiTheme="majorBidi" w:hAnsiTheme="majorBidi" w:cstheme="majorBidi"/>
          <w:rtl/>
        </w:rPr>
      </w:pPr>
    </w:p>
    <w:p w14:paraId="462F9745" w14:textId="77777777" w:rsidR="00DA6064" w:rsidRDefault="00DA6064" w:rsidP="003F41AE">
      <w:pPr>
        <w:adjustRightInd w:val="0"/>
        <w:jc w:val="both"/>
        <w:rPr>
          <w:rFonts w:asciiTheme="majorBidi" w:hAnsiTheme="majorBidi" w:cstheme="majorBidi"/>
        </w:rPr>
      </w:pPr>
    </w:p>
    <w:p w14:paraId="709D929D" w14:textId="77777777" w:rsidR="007C4E95" w:rsidRDefault="007C4E95" w:rsidP="003F41AE">
      <w:pPr>
        <w:adjustRightInd w:val="0"/>
        <w:jc w:val="both"/>
        <w:rPr>
          <w:rFonts w:asciiTheme="majorBidi" w:hAnsiTheme="majorBidi" w:cstheme="majorBidi"/>
        </w:rPr>
      </w:pPr>
    </w:p>
    <w:p w14:paraId="11F22265" w14:textId="77777777" w:rsidR="007C4E95" w:rsidRDefault="007C4E95" w:rsidP="003F41AE">
      <w:pPr>
        <w:adjustRightInd w:val="0"/>
        <w:jc w:val="both"/>
        <w:rPr>
          <w:rFonts w:asciiTheme="majorBidi" w:hAnsiTheme="majorBidi" w:cstheme="majorBidi"/>
        </w:rPr>
      </w:pPr>
    </w:p>
    <w:p w14:paraId="4CAC647E" w14:textId="77777777" w:rsidR="007C4E95" w:rsidRDefault="007C4E95" w:rsidP="003F41AE">
      <w:pPr>
        <w:adjustRightInd w:val="0"/>
        <w:jc w:val="both"/>
        <w:rPr>
          <w:rFonts w:asciiTheme="majorBidi" w:hAnsiTheme="majorBidi" w:cstheme="majorBidi"/>
        </w:rPr>
      </w:pPr>
    </w:p>
    <w:p w14:paraId="42311979" w14:textId="77777777" w:rsidR="007C4E95" w:rsidRDefault="007C4E95" w:rsidP="003F41AE">
      <w:pPr>
        <w:adjustRightInd w:val="0"/>
        <w:jc w:val="both"/>
        <w:rPr>
          <w:rFonts w:asciiTheme="majorBidi" w:hAnsiTheme="majorBidi" w:cstheme="majorBidi"/>
        </w:rPr>
      </w:pPr>
    </w:p>
    <w:p w14:paraId="6CC75E41" w14:textId="77777777" w:rsidR="007C4E95" w:rsidRDefault="007C4E95" w:rsidP="003F41AE">
      <w:pPr>
        <w:adjustRightInd w:val="0"/>
        <w:jc w:val="both"/>
        <w:rPr>
          <w:rFonts w:asciiTheme="majorBidi" w:hAnsiTheme="majorBidi" w:cstheme="majorBidi"/>
        </w:rPr>
      </w:pPr>
    </w:p>
    <w:p w14:paraId="0BA56F1C" w14:textId="77777777" w:rsidR="007C4E95" w:rsidRDefault="007C4E95" w:rsidP="003F41AE">
      <w:pPr>
        <w:adjustRightInd w:val="0"/>
        <w:jc w:val="both"/>
        <w:rPr>
          <w:rFonts w:asciiTheme="majorBidi" w:hAnsiTheme="majorBidi" w:cstheme="majorBidi"/>
        </w:rPr>
      </w:pPr>
    </w:p>
    <w:p w14:paraId="0BEFE08A" w14:textId="77777777" w:rsidR="007C4E95" w:rsidRDefault="007C4E95" w:rsidP="003F41AE">
      <w:pPr>
        <w:adjustRightInd w:val="0"/>
        <w:jc w:val="both"/>
        <w:rPr>
          <w:rFonts w:asciiTheme="majorBidi" w:hAnsiTheme="majorBidi" w:cstheme="majorBidi"/>
        </w:rPr>
      </w:pPr>
    </w:p>
    <w:p w14:paraId="0338E5A6" w14:textId="77777777" w:rsidR="007C4E95" w:rsidRDefault="007C4E95" w:rsidP="003F41AE">
      <w:pPr>
        <w:adjustRightInd w:val="0"/>
        <w:jc w:val="both"/>
        <w:rPr>
          <w:rFonts w:asciiTheme="majorBidi" w:hAnsiTheme="majorBidi" w:cstheme="majorBidi"/>
        </w:rPr>
      </w:pPr>
    </w:p>
    <w:p w14:paraId="6EFB62DB" w14:textId="77777777" w:rsidR="007C4E95" w:rsidRDefault="007C4E95" w:rsidP="003F41AE">
      <w:pPr>
        <w:adjustRightInd w:val="0"/>
        <w:jc w:val="both"/>
        <w:rPr>
          <w:rFonts w:asciiTheme="majorBidi" w:hAnsiTheme="majorBidi" w:cstheme="majorBidi"/>
        </w:rPr>
      </w:pPr>
    </w:p>
    <w:p w14:paraId="1CCED4C9" w14:textId="77777777" w:rsidR="007C4E95" w:rsidRDefault="007C4E95" w:rsidP="003F41AE">
      <w:pPr>
        <w:adjustRightInd w:val="0"/>
        <w:jc w:val="both"/>
        <w:rPr>
          <w:rFonts w:asciiTheme="majorBidi" w:hAnsiTheme="majorBidi" w:cstheme="majorBidi"/>
        </w:rPr>
      </w:pPr>
    </w:p>
    <w:p w14:paraId="520A7493" w14:textId="3F4D17F7" w:rsidR="007C4E95" w:rsidRDefault="007C4E95" w:rsidP="005853BF">
      <w:pPr>
        <w:adjustRightInd w:val="0"/>
        <w:jc w:val="both"/>
        <w:rPr>
          <w:rFonts w:asciiTheme="majorBidi" w:hAnsiTheme="majorBidi" w:cstheme="majorBidi"/>
        </w:rPr>
      </w:pPr>
      <w:r>
        <w:rPr>
          <w:rFonts w:asciiTheme="majorBidi" w:hAnsiTheme="majorBidi" w:cstheme="majorBidi"/>
        </w:rPr>
        <w:t>References:</w:t>
      </w:r>
    </w:p>
    <w:p w14:paraId="492F8127" w14:textId="77777777" w:rsidR="007C4E95" w:rsidRDefault="007C4E95" w:rsidP="005853BF">
      <w:pPr>
        <w:pStyle w:val="NormalWeb"/>
        <w:spacing w:before="0" w:beforeAutospacing="0" w:after="0" w:afterAutospacing="0"/>
        <w:ind w:left="1080" w:hanging="720"/>
        <w:jc w:val="both"/>
      </w:pPr>
      <w:r>
        <w:rPr>
          <w:rStyle w:val="Strong"/>
          <w:rFonts w:eastAsiaTheme="majorEastAsia"/>
        </w:rPr>
        <w:t>Apergis, N., Filippidis, M., &amp; Shabani, S.</w:t>
      </w:r>
      <w:r>
        <w:t xml:space="preserve"> (2022). Corporate social responsibility and firm value: Evidence from the global financial crisis. </w:t>
      </w:r>
      <w:r>
        <w:rPr>
          <w:rStyle w:val="Emphasis"/>
          <w:rFonts w:eastAsiaTheme="majorEastAsia"/>
        </w:rPr>
        <w:t>Journal of Business Research</w:t>
      </w:r>
      <w:r>
        <w:t>, 144, 1090-1100.</w:t>
      </w:r>
    </w:p>
    <w:p w14:paraId="3E7A9214" w14:textId="77777777" w:rsidR="007C4E95" w:rsidRDefault="007C4E95" w:rsidP="005853BF">
      <w:pPr>
        <w:pStyle w:val="NormalWeb"/>
        <w:spacing w:before="0" w:beforeAutospacing="0" w:after="0" w:afterAutospacing="0"/>
        <w:ind w:left="1080" w:hanging="720"/>
        <w:jc w:val="both"/>
      </w:pPr>
      <w:r>
        <w:rPr>
          <w:rStyle w:val="Strong"/>
          <w:rFonts w:eastAsiaTheme="majorEastAsia"/>
        </w:rPr>
        <w:t xml:space="preserve">Attig, N., El Ghoul, S., </w:t>
      </w:r>
      <w:proofErr w:type="spellStart"/>
      <w:r>
        <w:rPr>
          <w:rStyle w:val="Strong"/>
          <w:rFonts w:eastAsiaTheme="majorEastAsia"/>
        </w:rPr>
        <w:t>Guedhami</w:t>
      </w:r>
      <w:proofErr w:type="spellEnd"/>
      <w:r>
        <w:rPr>
          <w:rStyle w:val="Strong"/>
          <w:rFonts w:eastAsiaTheme="majorEastAsia"/>
        </w:rPr>
        <w:t>, O., &amp; Suh, J.</w:t>
      </w:r>
      <w:r>
        <w:t xml:space="preserve"> (2013). Corporate social responsibility and credit ratings. </w:t>
      </w:r>
      <w:r>
        <w:rPr>
          <w:rStyle w:val="Emphasis"/>
          <w:rFonts w:eastAsiaTheme="majorEastAsia"/>
        </w:rPr>
        <w:t>Journal of Business Ethics</w:t>
      </w:r>
      <w:r>
        <w:t>, 117(4), 679-694.</w:t>
      </w:r>
    </w:p>
    <w:p w14:paraId="7F42EC18" w14:textId="77777777" w:rsidR="007C4E95" w:rsidRDefault="007C4E95" w:rsidP="005853BF">
      <w:pPr>
        <w:pStyle w:val="NormalWeb"/>
        <w:spacing w:before="0" w:beforeAutospacing="0" w:after="0" w:afterAutospacing="0"/>
        <w:ind w:left="1080" w:hanging="720"/>
        <w:jc w:val="both"/>
      </w:pPr>
      <w:r>
        <w:rPr>
          <w:rStyle w:val="Strong"/>
          <w:rFonts w:eastAsiaTheme="majorEastAsia"/>
        </w:rPr>
        <w:t>Boehmer, E., Musumeci, J., &amp; Poulsen, A. B.</w:t>
      </w:r>
      <w:r>
        <w:t xml:space="preserve"> (1991). Event-study methodology under conditions of event-induced variance. </w:t>
      </w:r>
      <w:r>
        <w:rPr>
          <w:rStyle w:val="Emphasis"/>
          <w:rFonts w:eastAsiaTheme="majorEastAsia"/>
        </w:rPr>
        <w:t>Journal of Financial Economics</w:t>
      </w:r>
      <w:r>
        <w:t>, 30(2), 253-272.</w:t>
      </w:r>
    </w:p>
    <w:p w14:paraId="456844F6" w14:textId="77777777" w:rsidR="007C4E95" w:rsidRDefault="007C4E95" w:rsidP="005853BF">
      <w:pPr>
        <w:pStyle w:val="NormalWeb"/>
        <w:spacing w:before="0" w:beforeAutospacing="0" w:after="0" w:afterAutospacing="0"/>
        <w:ind w:left="1080" w:hanging="720"/>
        <w:jc w:val="both"/>
      </w:pPr>
      <w:r>
        <w:rPr>
          <w:rStyle w:val="Strong"/>
          <w:rFonts w:eastAsiaTheme="majorEastAsia"/>
        </w:rPr>
        <w:t>Chaplinsky, S., &amp; Hansen, R. S.</w:t>
      </w:r>
      <w:r>
        <w:t xml:space="preserve"> (1993). Partial anticipation, the flow of information and the economic impact of corporate debt sales. </w:t>
      </w:r>
      <w:r>
        <w:rPr>
          <w:rStyle w:val="Emphasis"/>
          <w:rFonts w:eastAsiaTheme="majorEastAsia"/>
        </w:rPr>
        <w:t>Review of Financial Studies</w:t>
      </w:r>
      <w:r>
        <w:t>, 6(3), 709-732.</w:t>
      </w:r>
    </w:p>
    <w:p w14:paraId="4C2A6F1A" w14:textId="77777777" w:rsidR="007C4E95" w:rsidRDefault="007C4E95" w:rsidP="005853BF">
      <w:pPr>
        <w:pStyle w:val="NormalWeb"/>
        <w:spacing w:before="0" w:beforeAutospacing="0" w:after="0" w:afterAutospacing="0"/>
        <w:ind w:left="1080" w:hanging="720"/>
        <w:jc w:val="both"/>
      </w:pPr>
      <w:r>
        <w:rPr>
          <w:rStyle w:val="Strong"/>
          <w:rFonts w:eastAsiaTheme="majorEastAsia"/>
        </w:rPr>
        <w:t>Chava, S.</w:t>
      </w:r>
      <w:r>
        <w:t xml:space="preserve"> (2014). Environmental externalities and cost of capital. </w:t>
      </w:r>
      <w:r>
        <w:rPr>
          <w:rStyle w:val="Emphasis"/>
          <w:rFonts w:eastAsiaTheme="majorEastAsia"/>
        </w:rPr>
        <w:t>Management Science</w:t>
      </w:r>
      <w:r>
        <w:t>, 60(9), 2223-2247.</w:t>
      </w:r>
    </w:p>
    <w:p w14:paraId="12F51B34" w14:textId="77777777" w:rsidR="007C4E95" w:rsidRDefault="007C4E95" w:rsidP="005853BF">
      <w:pPr>
        <w:pStyle w:val="NormalWeb"/>
        <w:spacing w:before="0" w:beforeAutospacing="0" w:after="0" w:afterAutospacing="0"/>
        <w:ind w:left="1080" w:hanging="720"/>
        <w:jc w:val="both"/>
      </w:pPr>
      <w:r>
        <w:rPr>
          <w:rStyle w:val="Strong"/>
          <w:rFonts w:eastAsiaTheme="majorEastAsia"/>
        </w:rPr>
        <w:t>Dann, L. Y., &amp; Mikkelson, W. H.</w:t>
      </w:r>
      <w:r>
        <w:t xml:space="preserve"> (1984). Convertible debt issuance, capital structure change and financing-related information: Some new evidence. </w:t>
      </w:r>
      <w:r>
        <w:rPr>
          <w:rStyle w:val="Emphasis"/>
          <w:rFonts w:eastAsiaTheme="majorEastAsia"/>
        </w:rPr>
        <w:t>Journal of Financial Economics</w:t>
      </w:r>
      <w:r>
        <w:t>, 13(2), 157-186.</w:t>
      </w:r>
    </w:p>
    <w:p w14:paraId="60215CCD" w14:textId="77777777" w:rsidR="007C4E95" w:rsidRDefault="007C4E95" w:rsidP="005853BF">
      <w:pPr>
        <w:pStyle w:val="NormalWeb"/>
        <w:spacing w:before="0" w:beforeAutospacing="0" w:after="0" w:afterAutospacing="0"/>
        <w:ind w:left="1080" w:hanging="720"/>
        <w:jc w:val="both"/>
      </w:pPr>
      <w:r>
        <w:rPr>
          <w:rStyle w:val="Strong"/>
          <w:rFonts w:eastAsiaTheme="majorEastAsia"/>
        </w:rPr>
        <w:t>Du, X., Jian, W., Zeng, Q., &amp; Du, Y.</w:t>
      </w:r>
      <w:r>
        <w:t xml:space="preserve"> (2015). Corporate environmental responsibility and firm financial performance: The moderating effect of strategic noise. </w:t>
      </w:r>
      <w:r>
        <w:rPr>
          <w:rStyle w:val="Emphasis"/>
          <w:rFonts w:eastAsiaTheme="majorEastAsia"/>
        </w:rPr>
        <w:t>Journal of Business Ethics</w:t>
      </w:r>
      <w:r>
        <w:t>, 127(2), 305-319.</w:t>
      </w:r>
    </w:p>
    <w:p w14:paraId="7AF2062D" w14:textId="77777777" w:rsidR="007C4E95" w:rsidRDefault="007C4E95" w:rsidP="005853BF">
      <w:pPr>
        <w:pStyle w:val="NormalWeb"/>
        <w:spacing w:before="0" w:beforeAutospacing="0" w:after="0" w:afterAutospacing="0"/>
        <w:ind w:left="1080" w:hanging="720"/>
        <w:jc w:val="both"/>
      </w:pPr>
      <w:proofErr w:type="spellStart"/>
      <w:r>
        <w:rPr>
          <w:rStyle w:val="Strong"/>
          <w:rFonts w:eastAsiaTheme="majorEastAsia"/>
        </w:rPr>
        <w:t>Eckbo</w:t>
      </w:r>
      <w:proofErr w:type="spellEnd"/>
      <w:r>
        <w:rPr>
          <w:rStyle w:val="Strong"/>
          <w:rFonts w:eastAsiaTheme="majorEastAsia"/>
        </w:rPr>
        <w:t>, B. E.</w:t>
      </w:r>
      <w:r>
        <w:t xml:space="preserve"> (1986). Valuation effects of corporate debt offerings. </w:t>
      </w:r>
      <w:r>
        <w:rPr>
          <w:rStyle w:val="Emphasis"/>
          <w:rFonts w:eastAsiaTheme="majorEastAsia"/>
        </w:rPr>
        <w:t>Journal of Financial Economics</w:t>
      </w:r>
      <w:r>
        <w:t>, 15(1-2), 119-151.</w:t>
      </w:r>
    </w:p>
    <w:p w14:paraId="31E3E728" w14:textId="77777777" w:rsidR="007C4E95" w:rsidRDefault="007C4E95" w:rsidP="005853BF">
      <w:pPr>
        <w:pStyle w:val="NormalWeb"/>
        <w:spacing w:before="0" w:beforeAutospacing="0" w:after="0" w:afterAutospacing="0"/>
        <w:ind w:left="1080" w:hanging="720"/>
        <w:jc w:val="both"/>
      </w:pPr>
      <w:r>
        <w:rPr>
          <w:rStyle w:val="Strong"/>
          <w:rFonts w:eastAsiaTheme="majorEastAsia"/>
        </w:rPr>
        <w:t xml:space="preserve">Ferrell, A., Liang, H., &amp; </w:t>
      </w:r>
      <w:proofErr w:type="spellStart"/>
      <w:r>
        <w:rPr>
          <w:rStyle w:val="Strong"/>
          <w:rFonts w:eastAsiaTheme="majorEastAsia"/>
        </w:rPr>
        <w:t>Renneboog</w:t>
      </w:r>
      <w:proofErr w:type="spellEnd"/>
      <w:r>
        <w:rPr>
          <w:rStyle w:val="Strong"/>
          <w:rFonts w:eastAsiaTheme="majorEastAsia"/>
        </w:rPr>
        <w:t>, L.</w:t>
      </w:r>
      <w:r>
        <w:t xml:space="preserve"> (2016). Socially responsible firms. </w:t>
      </w:r>
      <w:r>
        <w:rPr>
          <w:rStyle w:val="Emphasis"/>
          <w:rFonts w:eastAsiaTheme="majorEastAsia"/>
        </w:rPr>
        <w:t>Journal of Financial Economics</w:t>
      </w:r>
      <w:r>
        <w:t>, 122(3), 585-606.</w:t>
      </w:r>
    </w:p>
    <w:p w14:paraId="0F27B849" w14:textId="77777777" w:rsidR="007C4E95" w:rsidRDefault="007C4E95" w:rsidP="005853BF">
      <w:pPr>
        <w:pStyle w:val="NormalWeb"/>
        <w:spacing w:before="0" w:beforeAutospacing="0" w:after="0" w:afterAutospacing="0"/>
        <w:ind w:left="1080" w:hanging="720"/>
        <w:jc w:val="both"/>
      </w:pPr>
      <w:r>
        <w:rPr>
          <w:rStyle w:val="Strong"/>
          <w:rFonts w:eastAsiaTheme="majorEastAsia"/>
        </w:rPr>
        <w:t>Freeman, R. E.</w:t>
      </w:r>
      <w:r>
        <w:t xml:space="preserve"> (1984). </w:t>
      </w:r>
      <w:r>
        <w:rPr>
          <w:rStyle w:val="Emphasis"/>
          <w:rFonts w:eastAsiaTheme="majorEastAsia"/>
        </w:rPr>
        <w:t>Strategic management: A stakeholder approach</w:t>
      </w:r>
      <w:r>
        <w:t>. Cambridge University Press.</w:t>
      </w:r>
    </w:p>
    <w:p w14:paraId="01D57854" w14:textId="77777777" w:rsidR="007C4E95" w:rsidRDefault="007C4E95" w:rsidP="005853BF">
      <w:pPr>
        <w:pStyle w:val="NormalWeb"/>
        <w:spacing w:before="0" w:beforeAutospacing="0" w:after="0" w:afterAutospacing="0"/>
        <w:ind w:left="1080" w:hanging="720"/>
        <w:jc w:val="both"/>
      </w:pPr>
      <w:r>
        <w:rPr>
          <w:rStyle w:val="Strong"/>
          <w:rFonts w:eastAsiaTheme="majorEastAsia"/>
        </w:rPr>
        <w:t>Ge, W., &amp; Liu, M.</w:t>
      </w:r>
      <w:r>
        <w:t xml:space="preserve"> (2015). Corporate social responsibility and the cost of corporate bonds. </w:t>
      </w:r>
      <w:r>
        <w:rPr>
          <w:rStyle w:val="Emphasis"/>
          <w:rFonts w:eastAsiaTheme="majorEastAsia"/>
        </w:rPr>
        <w:t>Journal of Accounting and Public Policy</w:t>
      </w:r>
      <w:r>
        <w:t>, 34(6), 597-624.</w:t>
      </w:r>
    </w:p>
    <w:p w14:paraId="7575DDA5" w14:textId="77777777" w:rsidR="007C4E95" w:rsidRDefault="007C4E95" w:rsidP="005853BF">
      <w:pPr>
        <w:pStyle w:val="NormalWeb"/>
        <w:spacing w:before="0" w:beforeAutospacing="0" w:after="0" w:afterAutospacing="0"/>
        <w:ind w:left="1080" w:hanging="720"/>
        <w:jc w:val="both"/>
      </w:pPr>
      <w:r>
        <w:rPr>
          <w:rStyle w:val="Strong"/>
          <w:rFonts w:eastAsiaTheme="majorEastAsia"/>
        </w:rPr>
        <w:t>Godfrey, P. C.</w:t>
      </w:r>
      <w:r>
        <w:t xml:space="preserve"> (2005). The relationship between corporate philanthropy and shareholder wealth: A risk management perspective. </w:t>
      </w:r>
      <w:r>
        <w:rPr>
          <w:rStyle w:val="Emphasis"/>
          <w:rFonts w:eastAsiaTheme="majorEastAsia"/>
        </w:rPr>
        <w:t>Academy of Management Review</w:t>
      </w:r>
      <w:r>
        <w:t>, 30(4), 777-798.</w:t>
      </w:r>
    </w:p>
    <w:p w14:paraId="45C4E673" w14:textId="77777777" w:rsidR="007C4E95" w:rsidRDefault="007C4E95" w:rsidP="005853BF">
      <w:pPr>
        <w:pStyle w:val="NormalWeb"/>
        <w:spacing w:before="0" w:beforeAutospacing="0" w:after="0" w:afterAutospacing="0"/>
        <w:ind w:left="1080" w:hanging="720"/>
        <w:jc w:val="both"/>
      </w:pPr>
      <w:r>
        <w:rPr>
          <w:rStyle w:val="Strong"/>
          <w:rFonts w:eastAsiaTheme="majorEastAsia"/>
        </w:rPr>
        <w:t>Goss, A., &amp; Roberts, G. S.</w:t>
      </w:r>
      <w:r>
        <w:t xml:space="preserve"> (2011). The impact of corporate social responsibility on the cost of bank loans. </w:t>
      </w:r>
      <w:r>
        <w:rPr>
          <w:rStyle w:val="Emphasis"/>
          <w:rFonts w:eastAsiaTheme="majorEastAsia"/>
        </w:rPr>
        <w:t>Journal of Banking &amp; Finance</w:t>
      </w:r>
      <w:r>
        <w:t>, 35(7), 1794-1810.</w:t>
      </w:r>
    </w:p>
    <w:p w14:paraId="2DC99CB9" w14:textId="77777777" w:rsidR="007C4E95" w:rsidRDefault="007C4E95" w:rsidP="005853BF">
      <w:pPr>
        <w:pStyle w:val="NormalWeb"/>
        <w:spacing w:before="0" w:beforeAutospacing="0" w:after="0" w:afterAutospacing="0"/>
        <w:ind w:left="1080" w:hanging="720"/>
        <w:jc w:val="both"/>
      </w:pPr>
      <w:r>
        <w:rPr>
          <w:rStyle w:val="Strong"/>
          <w:rFonts w:eastAsiaTheme="majorEastAsia"/>
        </w:rPr>
        <w:t>Gujarati, D. N., &amp; Porter, D. C.</w:t>
      </w:r>
      <w:r>
        <w:t xml:space="preserve"> (2009). </w:t>
      </w:r>
      <w:r>
        <w:rPr>
          <w:rStyle w:val="Emphasis"/>
          <w:rFonts w:eastAsiaTheme="majorEastAsia"/>
        </w:rPr>
        <w:t>Basic Econometrics</w:t>
      </w:r>
      <w:r>
        <w:t xml:space="preserve"> (5th ed.). McGraw-Hill Education.</w:t>
      </w:r>
    </w:p>
    <w:p w14:paraId="2A8E41F8" w14:textId="77777777" w:rsidR="007C4E95" w:rsidRDefault="007C4E95" w:rsidP="005853BF">
      <w:pPr>
        <w:pStyle w:val="NormalWeb"/>
        <w:spacing w:before="0" w:beforeAutospacing="0" w:after="0" w:afterAutospacing="0"/>
        <w:ind w:left="1080" w:hanging="720"/>
        <w:jc w:val="both"/>
      </w:pPr>
      <w:r>
        <w:rPr>
          <w:rStyle w:val="Strong"/>
          <w:rFonts w:eastAsiaTheme="majorEastAsia"/>
        </w:rPr>
        <w:t>Hansen, R. S., &amp; Crutchley, C. E.</w:t>
      </w:r>
      <w:r>
        <w:t xml:space="preserve"> (1990). Corporate debt and financing decisions: Evidence from the issuance of straight debt. </w:t>
      </w:r>
      <w:r>
        <w:rPr>
          <w:rStyle w:val="Emphasis"/>
          <w:rFonts w:eastAsiaTheme="majorEastAsia"/>
        </w:rPr>
        <w:t>Journal of Financial Research</w:t>
      </w:r>
      <w:r>
        <w:t>, 13(3), 141-151.</w:t>
      </w:r>
    </w:p>
    <w:p w14:paraId="2E859BFD" w14:textId="77777777" w:rsidR="007C4E95" w:rsidRDefault="007C4E95" w:rsidP="005853BF">
      <w:pPr>
        <w:pStyle w:val="NormalWeb"/>
        <w:spacing w:before="0" w:beforeAutospacing="0" w:after="0" w:afterAutospacing="0"/>
        <w:ind w:left="1080" w:hanging="720"/>
        <w:jc w:val="both"/>
      </w:pPr>
      <w:r>
        <w:rPr>
          <w:rStyle w:val="Strong"/>
          <w:rFonts w:eastAsiaTheme="majorEastAsia"/>
        </w:rPr>
        <w:t>Heckman, J. J.</w:t>
      </w:r>
      <w:r>
        <w:t xml:space="preserve"> (1979). Sample selection bias as a specification error. </w:t>
      </w:r>
      <w:proofErr w:type="spellStart"/>
      <w:r>
        <w:rPr>
          <w:rStyle w:val="Emphasis"/>
          <w:rFonts w:eastAsiaTheme="majorEastAsia"/>
        </w:rPr>
        <w:t>Econometrica</w:t>
      </w:r>
      <w:proofErr w:type="spellEnd"/>
      <w:r>
        <w:t>, 47(1), 153-161.</w:t>
      </w:r>
    </w:p>
    <w:p w14:paraId="56BE0B08" w14:textId="77777777" w:rsidR="007C4E95" w:rsidRDefault="007C4E95" w:rsidP="005853BF">
      <w:pPr>
        <w:pStyle w:val="NormalWeb"/>
        <w:spacing w:before="0" w:beforeAutospacing="0" w:after="0" w:afterAutospacing="0"/>
        <w:ind w:left="1080" w:hanging="720"/>
        <w:jc w:val="both"/>
      </w:pPr>
      <w:r>
        <w:rPr>
          <w:rStyle w:val="Strong"/>
          <w:rFonts w:eastAsiaTheme="majorEastAsia"/>
        </w:rPr>
        <w:t>Howton, S. D., Howton, S. W., &amp; Perfect, S. B.</w:t>
      </w:r>
      <w:r>
        <w:t xml:space="preserve"> (1998). The market reaction to straight debt issuances: An analysis of the impact of free cash flow. </w:t>
      </w:r>
      <w:r>
        <w:rPr>
          <w:rStyle w:val="Emphasis"/>
          <w:rFonts w:eastAsiaTheme="majorEastAsia"/>
        </w:rPr>
        <w:t>Journal of Financial Research</w:t>
      </w:r>
      <w:r>
        <w:t>, 21(3), 219-228.</w:t>
      </w:r>
    </w:p>
    <w:p w14:paraId="53BA0EBE" w14:textId="77777777" w:rsidR="007C4E95" w:rsidRDefault="007C4E95" w:rsidP="005853BF">
      <w:pPr>
        <w:pStyle w:val="NormalWeb"/>
        <w:spacing w:before="0" w:beforeAutospacing="0" w:after="0" w:afterAutospacing="0"/>
        <w:ind w:left="1080" w:hanging="720"/>
        <w:jc w:val="both"/>
      </w:pPr>
      <w:r>
        <w:rPr>
          <w:rStyle w:val="Strong"/>
          <w:rFonts w:eastAsiaTheme="majorEastAsia"/>
        </w:rPr>
        <w:t>Jensen, M. C., &amp; Meckling, W. H.</w:t>
      </w:r>
      <w:r>
        <w:t xml:space="preserve"> (1976). Theory of the firm: Managerial behavior, agency costs, and ownership structure. </w:t>
      </w:r>
      <w:r>
        <w:rPr>
          <w:rStyle w:val="Emphasis"/>
          <w:rFonts w:eastAsiaTheme="majorEastAsia"/>
        </w:rPr>
        <w:t>Journal of Financial Economics</w:t>
      </w:r>
      <w:r>
        <w:t>, 3(4), 305-360.</w:t>
      </w:r>
    </w:p>
    <w:p w14:paraId="23D46AE3" w14:textId="77777777" w:rsidR="007C4E95" w:rsidRDefault="007C4E95" w:rsidP="005853BF">
      <w:pPr>
        <w:pStyle w:val="NormalWeb"/>
        <w:spacing w:before="0" w:beforeAutospacing="0" w:after="0" w:afterAutospacing="0"/>
        <w:ind w:left="1080" w:hanging="720"/>
        <w:jc w:val="both"/>
      </w:pPr>
      <w:r>
        <w:rPr>
          <w:rStyle w:val="Strong"/>
          <w:rFonts w:eastAsiaTheme="majorEastAsia"/>
        </w:rPr>
        <w:t>Jiang, B.</w:t>
      </w:r>
      <w:r>
        <w:t xml:space="preserve"> (2008). Corporate governance and financial performance: New evidence. </w:t>
      </w:r>
      <w:r>
        <w:rPr>
          <w:rStyle w:val="Emphasis"/>
          <w:rFonts w:eastAsiaTheme="majorEastAsia"/>
        </w:rPr>
        <w:t>Journal of Financial and Quantitative Analysis</w:t>
      </w:r>
      <w:r>
        <w:t>, 43(4), 1073-1099.</w:t>
      </w:r>
    </w:p>
    <w:p w14:paraId="27155478" w14:textId="77777777" w:rsidR="007C4E95" w:rsidRDefault="007C4E95" w:rsidP="005853BF">
      <w:pPr>
        <w:pStyle w:val="NormalWeb"/>
        <w:spacing w:before="0" w:beforeAutospacing="0" w:after="0" w:afterAutospacing="0"/>
        <w:ind w:left="1080" w:hanging="720"/>
        <w:jc w:val="both"/>
      </w:pPr>
      <w:r>
        <w:rPr>
          <w:rStyle w:val="Strong"/>
          <w:rFonts w:eastAsiaTheme="majorEastAsia"/>
        </w:rPr>
        <w:t>Johnson, M. F.</w:t>
      </w:r>
      <w:r>
        <w:t xml:space="preserve"> (1995). The effect of preferred stock rating changes on preferred and common stock prices. </w:t>
      </w:r>
      <w:r>
        <w:rPr>
          <w:rStyle w:val="Emphasis"/>
          <w:rFonts w:eastAsiaTheme="majorEastAsia"/>
        </w:rPr>
        <w:t>Journal of Business Research</w:t>
      </w:r>
      <w:r>
        <w:t>, 34(2), 135-146.</w:t>
      </w:r>
    </w:p>
    <w:p w14:paraId="78563670" w14:textId="77777777" w:rsidR="007C4E95" w:rsidRDefault="007C4E95" w:rsidP="005853BF">
      <w:pPr>
        <w:pStyle w:val="NormalWeb"/>
        <w:spacing w:before="0" w:beforeAutospacing="0" w:after="0" w:afterAutospacing="0"/>
        <w:ind w:left="1080" w:hanging="720"/>
        <w:jc w:val="both"/>
      </w:pPr>
      <w:r>
        <w:rPr>
          <w:rStyle w:val="Strong"/>
          <w:rFonts w:eastAsiaTheme="majorEastAsia"/>
        </w:rPr>
        <w:lastRenderedPageBreak/>
        <w:t>Jung, K., Kim, Y. C., &amp; Stulz, R. M.</w:t>
      </w:r>
      <w:r>
        <w:t xml:space="preserve"> (1996). Timing, investment opportunities, managerial discretion, and </w:t>
      </w:r>
      <w:proofErr w:type="gramStart"/>
      <w:r>
        <w:t>the security</w:t>
      </w:r>
      <w:proofErr w:type="gramEnd"/>
      <w:r>
        <w:t xml:space="preserve"> issue decision. </w:t>
      </w:r>
      <w:r>
        <w:rPr>
          <w:rStyle w:val="Emphasis"/>
          <w:rFonts w:eastAsiaTheme="majorEastAsia"/>
        </w:rPr>
        <w:t>Journal of Financial Economics</w:t>
      </w:r>
      <w:r>
        <w:t>, 42(2), 159-185.</w:t>
      </w:r>
    </w:p>
    <w:p w14:paraId="1E736565" w14:textId="77777777" w:rsidR="007C4E95" w:rsidRDefault="007C4E95" w:rsidP="005853BF">
      <w:pPr>
        <w:pStyle w:val="NormalWeb"/>
        <w:spacing w:before="0" w:beforeAutospacing="0" w:after="0" w:afterAutospacing="0"/>
        <w:ind w:left="1080" w:hanging="720"/>
        <w:jc w:val="both"/>
      </w:pPr>
      <w:r>
        <w:rPr>
          <w:rStyle w:val="Strong"/>
          <w:rFonts w:eastAsiaTheme="majorEastAsia"/>
        </w:rPr>
        <w:t>Kennedy, P.</w:t>
      </w:r>
      <w:r>
        <w:t xml:space="preserve"> (2008). </w:t>
      </w:r>
      <w:r>
        <w:rPr>
          <w:rStyle w:val="Emphasis"/>
          <w:rFonts w:eastAsiaTheme="majorEastAsia"/>
        </w:rPr>
        <w:t>A Guide to Econometrics</w:t>
      </w:r>
      <w:r>
        <w:t xml:space="preserve"> (6th ed.). Blackwell Publishing.</w:t>
      </w:r>
    </w:p>
    <w:p w14:paraId="4C058D29" w14:textId="77777777" w:rsidR="007C4E95" w:rsidRDefault="007C4E95" w:rsidP="005853BF">
      <w:pPr>
        <w:pStyle w:val="NormalWeb"/>
        <w:spacing w:before="0" w:beforeAutospacing="0" w:after="0" w:afterAutospacing="0"/>
        <w:ind w:left="1080" w:hanging="720"/>
        <w:jc w:val="both"/>
      </w:pPr>
      <w:r>
        <w:rPr>
          <w:rStyle w:val="Strong"/>
          <w:rFonts w:eastAsiaTheme="majorEastAsia"/>
        </w:rPr>
        <w:t>Li, Z., &amp; Xie, F.</w:t>
      </w:r>
      <w:r>
        <w:t xml:space="preserve"> (2014). Environmental performance and firm value: Evidence from China. </w:t>
      </w:r>
      <w:r>
        <w:rPr>
          <w:rStyle w:val="Emphasis"/>
          <w:rFonts w:eastAsiaTheme="majorEastAsia"/>
        </w:rPr>
        <w:t>Journal of Regulatory Economics</w:t>
      </w:r>
      <w:r>
        <w:t>, 46(3), 230-257.</w:t>
      </w:r>
    </w:p>
    <w:p w14:paraId="0C0543F3" w14:textId="77777777" w:rsidR="007C4E95" w:rsidRDefault="007C4E95" w:rsidP="005853BF">
      <w:pPr>
        <w:pStyle w:val="NormalWeb"/>
        <w:spacing w:before="0" w:beforeAutospacing="0" w:after="0" w:afterAutospacing="0"/>
        <w:ind w:left="1080" w:hanging="720"/>
        <w:jc w:val="both"/>
      </w:pPr>
      <w:r>
        <w:rPr>
          <w:rStyle w:val="Strong"/>
          <w:rFonts w:eastAsiaTheme="majorEastAsia"/>
        </w:rPr>
        <w:t>Menz, K. M.</w:t>
      </w:r>
      <w:r>
        <w:t xml:space="preserve"> (2010). Corporate social responsibility: Is it rewarded by the corporate bond market? A critical note. </w:t>
      </w:r>
      <w:r>
        <w:rPr>
          <w:rStyle w:val="Emphasis"/>
          <w:rFonts w:eastAsiaTheme="majorEastAsia"/>
        </w:rPr>
        <w:t>Journal of Business Ethics</w:t>
      </w:r>
      <w:r>
        <w:t>, 96(1), 117-134.</w:t>
      </w:r>
    </w:p>
    <w:p w14:paraId="410C83E4" w14:textId="77777777" w:rsidR="007C4E95" w:rsidRDefault="007C4E95" w:rsidP="005853BF">
      <w:pPr>
        <w:pStyle w:val="NormalWeb"/>
        <w:spacing w:before="0" w:beforeAutospacing="0" w:after="0" w:afterAutospacing="0"/>
        <w:ind w:left="1080" w:hanging="720"/>
        <w:jc w:val="both"/>
      </w:pPr>
      <w:r>
        <w:rPr>
          <w:rStyle w:val="Strong"/>
          <w:rFonts w:eastAsiaTheme="majorEastAsia"/>
        </w:rPr>
        <w:t>Mikkelson, W. H., &amp; Partch, M. M.</w:t>
      </w:r>
      <w:r>
        <w:t xml:space="preserve"> (1986). Valuation effects of security offerings and the issuance process. </w:t>
      </w:r>
      <w:r>
        <w:rPr>
          <w:rStyle w:val="Emphasis"/>
          <w:rFonts w:eastAsiaTheme="majorEastAsia"/>
        </w:rPr>
        <w:t>Journal of Financial Economics</w:t>
      </w:r>
      <w:r>
        <w:t>, 15(1-2), 31-60.</w:t>
      </w:r>
    </w:p>
    <w:p w14:paraId="182C87AA" w14:textId="77777777" w:rsidR="007C4E95" w:rsidRDefault="007C4E95" w:rsidP="005853BF">
      <w:pPr>
        <w:pStyle w:val="NormalWeb"/>
        <w:spacing w:before="0" w:beforeAutospacing="0" w:after="0" w:afterAutospacing="0"/>
        <w:ind w:left="1080" w:hanging="720"/>
        <w:jc w:val="both"/>
      </w:pPr>
      <w:r>
        <w:rPr>
          <w:rStyle w:val="Strong"/>
          <w:rFonts w:eastAsiaTheme="majorEastAsia"/>
        </w:rPr>
        <w:t>Myers, S. C., &amp; Majluf, N. S.</w:t>
      </w:r>
      <w:r>
        <w:t xml:space="preserve"> (1984). Corporate financing and investment decisions when firms have information that investors do not have. </w:t>
      </w:r>
      <w:r>
        <w:rPr>
          <w:rStyle w:val="Emphasis"/>
          <w:rFonts w:eastAsiaTheme="majorEastAsia"/>
        </w:rPr>
        <w:t>Journal of Financial Economics</w:t>
      </w:r>
      <w:r>
        <w:t>, 13(2), 187-221.</w:t>
      </w:r>
    </w:p>
    <w:p w14:paraId="7F5D4352" w14:textId="77777777" w:rsidR="007C4E95" w:rsidRDefault="007C4E95" w:rsidP="005853BF">
      <w:pPr>
        <w:pStyle w:val="NormalWeb"/>
        <w:spacing w:before="0" w:beforeAutospacing="0" w:after="0" w:afterAutospacing="0"/>
        <w:ind w:left="1080" w:hanging="720"/>
        <w:jc w:val="both"/>
      </w:pPr>
      <w:r>
        <w:rPr>
          <w:rStyle w:val="Strong"/>
          <w:rFonts w:eastAsiaTheme="majorEastAsia"/>
        </w:rPr>
        <w:t xml:space="preserve">Oikonomou, I., Brooks, C., &amp; </w:t>
      </w:r>
      <w:proofErr w:type="spellStart"/>
      <w:r>
        <w:rPr>
          <w:rStyle w:val="Strong"/>
          <w:rFonts w:eastAsiaTheme="majorEastAsia"/>
        </w:rPr>
        <w:t>Pavelin</w:t>
      </w:r>
      <w:proofErr w:type="spellEnd"/>
      <w:r>
        <w:rPr>
          <w:rStyle w:val="Strong"/>
          <w:rFonts w:eastAsiaTheme="majorEastAsia"/>
        </w:rPr>
        <w:t>, S.</w:t>
      </w:r>
      <w:r>
        <w:t xml:space="preserve"> (2014). The effects of corporate social performance on the cost of corporate debt and credit ratings. </w:t>
      </w:r>
      <w:r>
        <w:rPr>
          <w:rStyle w:val="Emphasis"/>
          <w:rFonts w:eastAsiaTheme="majorEastAsia"/>
        </w:rPr>
        <w:t>Financial Review</w:t>
      </w:r>
      <w:r>
        <w:t>, 49(1), 49-75.</w:t>
      </w:r>
    </w:p>
    <w:p w14:paraId="37EC9454" w14:textId="77777777" w:rsidR="007C4E95" w:rsidRDefault="007C4E95" w:rsidP="005853BF">
      <w:pPr>
        <w:pStyle w:val="NormalWeb"/>
        <w:spacing w:before="0" w:beforeAutospacing="0" w:after="0" w:afterAutospacing="0"/>
        <w:ind w:left="1080" w:hanging="720"/>
        <w:jc w:val="both"/>
      </w:pPr>
      <w:proofErr w:type="spellStart"/>
      <w:r>
        <w:rPr>
          <w:rStyle w:val="Strong"/>
          <w:rFonts w:eastAsiaTheme="majorEastAsia"/>
        </w:rPr>
        <w:t>Orlitzky</w:t>
      </w:r>
      <w:proofErr w:type="spellEnd"/>
      <w:r>
        <w:rPr>
          <w:rStyle w:val="Strong"/>
          <w:rFonts w:eastAsiaTheme="majorEastAsia"/>
        </w:rPr>
        <w:t>, M., &amp; Benjamin, J. D.</w:t>
      </w:r>
      <w:r>
        <w:t xml:space="preserve"> (2001). Corporate social performance and firm risk: A meta-analytic review. </w:t>
      </w:r>
      <w:r>
        <w:rPr>
          <w:rStyle w:val="Emphasis"/>
          <w:rFonts w:eastAsiaTheme="majorEastAsia"/>
        </w:rPr>
        <w:t>Business &amp; Society</w:t>
      </w:r>
      <w:r>
        <w:t>, 40(4), 369-396.</w:t>
      </w:r>
    </w:p>
    <w:p w14:paraId="0A0337F4" w14:textId="77777777" w:rsidR="007C4E95" w:rsidRDefault="007C4E95" w:rsidP="005853BF">
      <w:pPr>
        <w:pStyle w:val="NormalWeb"/>
        <w:spacing w:before="0" w:beforeAutospacing="0" w:after="0" w:afterAutospacing="0"/>
        <w:ind w:left="1080" w:hanging="720"/>
        <w:jc w:val="both"/>
      </w:pPr>
      <w:r>
        <w:rPr>
          <w:rStyle w:val="Strong"/>
          <w:rFonts w:eastAsiaTheme="majorEastAsia"/>
        </w:rPr>
        <w:t>Ortiz-Molina, H.</w:t>
      </w:r>
      <w:r>
        <w:t xml:space="preserve"> (2006). Credit ratings and firm value: Evidence from bond rating downgrades. </w:t>
      </w:r>
      <w:r>
        <w:rPr>
          <w:rStyle w:val="Emphasis"/>
          <w:rFonts w:eastAsiaTheme="majorEastAsia"/>
        </w:rPr>
        <w:t>Journal of Finance</w:t>
      </w:r>
      <w:r>
        <w:t>, 61(4), 1591-1621.</w:t>
      </w:r>
    </w:p>
    <w:p w14:paraId="38865286" w14:textId="77777777" w:rsidR="007C4E95" w:rsidRDefault="007C4E95" w:rsidP="005853BF">
      <w:pPr>
        <w:pStyle w:val="NormalWeb"/>
        <w:spacing w:before="0" w:beforeAutospacing="0" w:after="0" w:afterAutospacing="0"/>
        <w:ind w:left="1080" w:hanging="720"/>
        <w:jc w:val="both"/>
      </w:pPr>
      <w:r>
        <w:rPr>
          <w:rStyle w:val="Strong"/>
          <w:rFonts w:eastAsiaTheme="majorEastAsia"/>
        </w:rPr>
        <w:t xml:space="preserve">Polbennikov, S., </w:t>
      </w:r>
      <w:proofErr w:type="spellStart"/>
      <w:r>
        <w:rPr>
          <w:rStyle w:val="Strong"/>
          <w:rFonts w:eastAsiaTheme="majorEastAsia"/>
        </w:rPr>
        <w:t>Desclée</w:t>
      </w:r>
      <w:proofErr w:type="spellEnd"/>
      <w:r>
        <w:rPr>
          <w:rStyle w:val="Strong"/>
          <w:rFonts w:eastAsiaTheme="majorEastAsia"/>
        </w:rPr>
        <w:t xml:space="preserve">, A., </w:t>
      </w:r>
      <w:proofErr w:type="spellStart"/>
      <w:r>
        <w:rPr>
          <w:rStyle w:val="Strong"/>
          <w:rFonts w:eastAsiaTheme="majorEastAsia"/>
        </w:rPr>
        <w:t>Dynkin</w:t>
      </w:r>
      <w:proofErr w:type="spellEnd"/>
      <w:r>
        <w:rPr>
          <w:rStyle w:val="Strong"/>
          <w:rFonts w:eastAsiaTheme="majorEastAsia"/>
        </w:rPr>
        <w:t>, L., &amp; Maitra, A.</w:t>
      </w:r>
      <w:r>
        <w:t xml:space="preserve"> (2016). ESG ratings and performance of corporate bonds. </w:t>
      </w:r>
      <w:r>
        <w:rPr>
          <w:rStyle w:val="Emphasis"/>
          <w:rFonts w:eastAsiaTheme="majorEastAsia"/>
        </w:rPr>
        <w:t>Journal of Fixed Income</w:t>
      </w:r>
      <w:r>
        <w:t>, 26(1), 21-41.</w:t>
      </w:r>
    </w:p>
    <w:p w14:paraId="1418B214" w14:textId="77777777" w:rsidR="007C4E95" w:rsidRDefault="007C4E95" w:rsidP="005853BF">
      <w:pPr>
        <w:pStyle w:val="NormalWeb"/>
        <w:spacing w:before="0" w:beforeAutospacing="0" w:after="0" w:afterAutospacing="0"/>
        <w:ind w:left="1080" w:hanging="720"/>
        <w:jc w:val="both"/>
      </w:pPr>
      <w:r>
        <w:rPr>
          <w:rStyle w:val="Strong"/>
          <w:rFonts w:eastAsiaTheme="majorEastAsia"/>
        </w:rPr>
        <w:t>Shyam-Sunder, L.</w:t>
      </w:r>
      <w:r>
        <w:t xml:space="preserve"> (1991). The stock price effect of risk-bearing securities issuance and the firm’s capital structure choice. </w:t>
      </w:r>
      <w:r>
        <w:rPr>
          <w:rStyle w:val="Emphasis"/>
          <w:rFonts w:eastAsiaTheme="majorEastAsia"/>
        </w:rPr>
        <w:t>Journal of Financial Economics</w:t>
      </w:r>
      <w:r>
        <w:t>, 29(2), 225-244.</w:t>
      </w:r>
    </w:p>
    <w:p w14:paraId="1274631D" w14:textId="77777777" w:rsidR="007C4E95" w:rsidRDefault="007C4E95" w:rsidP="005853BF">
      <w:pPr>
        <w:pStyle w:val="NormalWeb"/>
        <w:spacing w:before="0" w:beforeAutospacing="0" w:after="0" w:afterAutospacing="0"/>
        <w:ind w:left="1080" w:hanging="720"/>
        <w:jc w:val="both"/>
      </w:pPr>
      <w:r>
        <w:rPr>
          <w:rStyle w:val="Strong"/>
          <w:rFonts w:eastAsiaTheme="majorEastAsia"/>
        </w:rPr>
        <w:t>Spence, M.</w:t>
      </w:r>
      <w:r>
        <w:t xml:space="preserve"> (1973). Job market signaling. </w:t>
      </w:r>
      <w:r>
        <w:rPr>
          <w:rStyle w:val="Emphasis"/>
          <w:rFonts w:eastAsiaTheme="majorEastAsia"/>
        </w:rPr>
        <w:t>Quarterly Journal of Economics</w:t>
      </w:r>
      <w:r>
        <w:t>, 87(3), 355-374.</w:t>
      </w:r>
    </w:p>
    <w:p w14:paraId="160B0BB5" w14:textId="77777777" w:rsidR="007C4E95" w:rsidRDefault="007C4E95" w:rsidP="005853BF"/>
    <w:p w14:paraId="297D5B97" w14:textId="77777777" w:rsidR="007C4E95" w:rsidRDefault="007C4E95" w:rsidP="005853BF">
      <w:pPr>
        <w:adjustRightInd w:val="0"/>
        <w:jc w:val="both"/>
        <w:rPr>
          <w:rFonts w:asciiTheme="majorBidi" w:hAnsiTheme="majorBidi" w:cstheme="majorBidi"/>
          <w:rtl/>
        </w:rPr>
      </w:pPr>
    </w:p>
    <w:p w14:paraId="49F39C32" w14:textId="77777777" w:rsidR="00DA6064" w:rsidRDefault="00DA6064" w:rsidP="005853BF">
      <w:pPr>
        <w:adjustRightInd w:val="0"/>
        <w:jc w:val="both"/>
        <w:rPr>
          <w:rFonts w:asciiTheme="majorBidi" w:hAnsiTheme="majorBidi" w:cstheme="majorBidi"/>
          <w:rtl/>
        </w:rPr>
      </w:pPr>
    </w:p>
    <w:p w14:paraId="44F82BC7" w14:textId="77777777" w:rsidR="00DA6064" w:rsidRDefault="00DA6064" w:rsidP="003F41AE">
      <w:pPr>
        <w:adjustRightInd w:val="0"/>
        <w:jc w:val="both"/>
        <w:rPr>
          <w:rFonts w:asciiTheme="majorBidi" w:hAnsiTheme="majorBidi" w:cstheme="majorBidi"/>
          <w:rtl/>
        </w:rPr>
      </w:pPr>
    </w:p>
    <w:p w14:paraId="4165B807" w14:textId="77777777" w:rsidR="00DA6064" w:rsidRDefault="00DA6064" w:rsidP="003F41AE">
      <w:pPr>
        <w:adjustRightInd w:val="0"/>
        <w:jc w:val="both"/>
        <w:rPr>
          <w:rFonts w:asciiTheme="majorBidi" w:hAnsiTheme="majorBidi" w:cstheme="majorBidi"/>
          <w:rtl/>
        </w:rPr>
      </w:pPr>
    </w:p>
    <w:p w14:paraId="35DCAB7C" w14:textId="77777777" w:rsidR="00DA6064" w:rsidRDefault="00DA6064" w:rsidP="003F41AE">
      <w:pPr>
        <w:adjustRightInd w:val="0"/>
        <w:jc w:val="both"/>
        <w:rPr>
          <w:rFonts w:asciiTheme="majorBidi" w:hAnsiTheme="majorBidi" w:cstheme="majorBidi"/>
          <w:rtl/>
        </w:rPr>
      </w:pPr>
    </w:p>
    <w:p w14:paraId="69D68A7B" w14:textId="77777777" w:rsidR="00DA6064" w:rsidRDefault="00DA6064" w:rsidP="003F41AE">
      <w:pPr>
        <w:adjustRightInd w:val="0"/>
        <w:jc w:val="both"/>
        <w:rPr>
          <w:rFonts w:asciiTheme="majorBidi" w:hAnsiTheme="majorBidi" w:cstheme="majorBidi"/>
          <w:rtl/>
        </w:rPr>
      </w:pPr>
    </w:p>
    <w:p w14:paraId="0E3A6014" w14:textId="77777777" w:rsidR="00DA6064" w:rsidRDefault="00DA6064" w:rsidP="003F41AE">
      <w:pPr>
        <w:adjustRightInd w:val="0"/>
        <w:jc w:val="both"/>
        <w:rPr>
          <w:rFonts w:asciiTheme="majorBidi" w:hAnsiTheme="majorBidi" w:cstheme="majorBidi"/>
          <w:rtl/>
        </w:rPr>
      </w:pPr>
    </w:p>
    <w:p w14:paraId="29A50D32" w14:textId="77777777" w:rsidR="00DA6064" w:rsidRDefault="00DA6064" w:rsidP="003F41AE">
      <w:pPr>
        <w:adjustRightInd w:val="0"/>
        <w:jc w:val="both"/>
        <w:rPr>
          <w:rFonts w:asciiTheme="majorBidi" w:hAnsiTheme="majorBidi" w:cstheme="majorBidi"/>
          <w:rtl/>
        </w:rPr>
      </w:pPr>
    </w:p>
    <w:p w14:paraId="354CB513" w14:textId="77777777" w:rsidR="00DA6064" w:rsidRDefault="00DA6064" w:rsidP="003F41AE">
      <w:pPr>
        <w:adjustRightInd w:val="0"/>
        <w:jc w:val="both"/>
        <w:rPr>
          <w:rFonts w:asciiTheme="majorBidi" w:hAnsiTheme="majorBidi" w:cstheme="majorBidi"/>
          <w:rtl/>
        </w:rPr>
      </w:pPr>
    </w:p>
    <w:p w14:paraId="462A7F7A" w14:textId="77777777" w:rsidR="00DA6064" w:rsidRDefault="00DA6064" w:rsidP="003F41AE">
      <w:pPr>
        <w:adjustRightInd w:val="0"/>
        <w:jc w:val="both"/>
        <w:rPr>
          <w:rFonts w:asciiTheme="majorBidi" w:hAnsiTheme="majorBidi" w:cstheme="majorBidi"/>
          <w:rtl/>
        </w:rPr>
      </w:pPr>
    </w:p>
    <w:sectPr w:rsidR="00DA6064" w:rsidSect="00030B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A72CD" w14:textId="77777777" w:rsidR="00BD5C4F" w:rsidRDefault="00BD5C4F" w:rsidP="006C171A">
      <w:r>
        <w:separator/>
      </w:r>
    </w:p>
  </w:endnote>
  <w:endnote w:type="continuationSeparator" w:id="0">
    <w:p w14:paraId="42BD1F89" w14:textId="77777777" w:rsidR="00BD5C4F" w:rsidRDefault="00BD5C4F" w:rsidP="006C171A">
      <w:r>
        <w:continuationSeparator/>
      </w:r>
    </w:p>
  </w:endnote>
  <w:endnote w:type="continuationNotice" w:id="1">
    <w:p w14:paraId="12D3FD4B" w14:textId="77777777" w:rsidR="00BD5C4F" w:rsidRDefault="00BD5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JDCAD F+ Gulliver">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TTE18C7BF8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FD79" w14:textId="77777777" w:rsidR="00495D4F" w:rsidRDefault="00495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05153"/>
      <w:docPartObj>
        <w:docPartGallery w:val="Page Numbers (Bottom of Page)"/>
        <w:docPartUnique/>
      </w:docPartObj>
    </w:sdtPr>
    <w:sdtEndPr>
      <w:rPr>
        <w:noProof/>
      </w:rPr>
    </w:sdtEndPr>
    <w:sdtContent>
      <w:p w14:paraId="760BCAEE" w14:textId="77777777" w:rsidR="00C92136" w:rsidRDefault="00C921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74F210" w14:textId="77777777" w:rsidR="00C92136" w:rsidRDefault="00C92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6A29" w14:textId="77777777" w:rsidR="00495D4F" w:rsidRDefault="0049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CA337" w14:textId="77777777" w:rsidR="00BD5C4F" w:rsidRDefault="00BD5C4F" w:rsidP="006C171A">
      <w:r>
        <w:separator/>
      </w:r>
    </w:p>
  </w:footnote>
  <w:footnote w:type="continuationSeparator" w:id="0">
    <w:p w14:paraId="284F22C1" w14:textId="77777777" w:rsidR="00BD5C4F" w:rsidRDefault="00BD5C4F" w:rsidP="006C171A">
      <w:r>
        <w:continuationSeparator/>
      </w:r>
    </w:p>
  </w:footnote>
  <w:footnote w:type="continuationNotice" w:id="1">
    <w:p w14:paraId="1CA6D5E6" w14:textId="77777777" w:rsidR="00BD5C4F" w:rsidRDefault="00BD5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45BC" w14:textId="77777777" w:rsidR="00495D4F" w:rsidRDefault="00495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1A76" w14:textId="77777777" w:rsidR="00495D4F" w:rsidRDefault="00495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F289" w14:textId="77777777" w:rsidR="00495D4F" w:rsidRDefault="00495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92D"/>
    <w:multiLevelType w:val="multilevel"/>
    <w:tmpl w:val="884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20A5B"/>
    <w:multiLevelType w:val="hybridMultilevel"/>
    <w:tmpl w:val="DB74907A"/>
    <w:lvl w:ilvl="0" w:tplc="9A4AAD2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57CD"/>
    <w:multiLevelType w:val="multilevel"/>
    <w:tmpl w:val="53F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E16B1"/>
    <w:multiLevelType w:val="hybridMultilevel"/>
    <w:tmpl w:val="9546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B4F89"/>
    <w:multiLevelType w:val="multilevel"/>
    <w:tmpl w:val="FA50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22A47"/>
    <w:multiLevelType w:val="multilevel"/>
    <w:tmpl w:val="3C1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F3697"/>
    <w:multiLevelType w:val="hybridMultilevel"/>
    <w:tmpl w:val="459CD8D8"/>
    <w:lvl w:ilvl="0" w:tplc="E6D41A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42297"/>
    <w:multiLevelType w:val="multilevel"/>
    <w:tmpl w:val="6794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35059"/>
    <w:multiLevelType w:val="hybridMultilevel"/>
    <w:tmpl w:val="5736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30EB"/>
    <w:multiLevelType w:val="hybridMultilevel"/>
    <w:tmpl w:val="8CC622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71246"/>
    <w:multiLevelType w:val="hybridMultilevel"/>
    <w:tmpl w:val="734E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4EF9"/>
    <w:multiLevelType w:val="multilevel"/>
    <w:tmpl w:val="BC48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4394B"/>
    <w:multiLevelType w:val="hybridMultilevel"/>
    <w:tmpl w:val="DEC61496"/>
    <w:lvl w:ilvl="0" w:tplc="2A1A7C6A">
      <w:start w:val="1"/>
      <w:numFmt w:val="bullet"/>
      <w:lvlText w:val=""/>
      <w:lvlJc w:val="left"/>
      <w:pPr>
        <w:ind w:left="720" w:hanging="360"/>
      </w:pPr>
      <w:rPr>
        <w:rFonts w:ascii="Symbol" w:hAnsi="Symbol" w:hint="default"/>
      </w:rPr>
    </w:lvl>
    <w:lvl w:ilvl="1" w:tplc="77321384">
      <w:start w:val="1"/>
      <w:numFmt w:val="bullet"/>
      <w:lvlText w:val="o"/>
      <w:lvlJc w:val="left"/>
      <w:pPr>
        <w:ind w:left="1440" w:hanging="360"/>
      </w:pPr>
      <w:rPr>
        <w:rFonts w:ascii="Courier New" w:hAnsi="Courier New" w:hint="default"/>
      </w:rPr>
    </w:lvl>
    <w:lvl w:ilvl="2" w:tplc="0F50ECA8">
      <w:start w:val="1"/>
      <w:numFmt w:val="bullet"/>
      <w:lvlText w:val=""/>
      <w:lvlJc w:val="left"/>
      <w:pPr>
        <w:ind w:left="2160" w:hanging="360"/>
      </w:pPr>
      <w:rPr>
        <w:rFonts w:ascii="Wingdings" w:hAnsi="Wingdings" w:hint="default"/>
      </w:rPr>
    </w:lvl>
    <w:lvl w:ilvl="3" w:tplc="74EE3696">
      <w:start w:val="1"/>
      <w:numFmt w:val="bullet"/>
      <w:lvlText w:val=""/>
      <w:lvlJc w:val="left"/>
      <w:pPr>
        <w:ind w:left="2880" w:hanging="360"/>
      </w:pPr>
      <w:rPr>
        <w:rFonts w:ascii="Symbol" w:hAnsi="Symbol" w:hint="default"/>
      </w:rPr>
    </w:lvl>
    <w:lvl w:ilvl="4" w:tplc="6A00EDAA">
      <w:start w:val="1"/>
      <w:numFmt w:val="bullet"/>
      <w:lvlText w:val="o"/>
      <w:lvlJc w:val="left"/>
      <w:pPr>
        <w:ind w:left="3600" w:hanging="360"/>
      </w:pPr>
      <w:rPr>
        <w:rFonts w:ascii="Courier New" w:hAnsi="Courier New" w:hint="default"/>
      </w:rPr>
    </w:lvl>
    <w:lvl w:ilvl="5" w:tplc="3B440502">
      <w:start w:val="1"/>
      <w:numFmt w:val="bullet"/>
      <w:lvlText w:val=""/>
      <w:lvlJc w:val="left"/>
      <w:pPr>
        <w:ind w:left="4320" w:hanging="360"/>
      </w:pPr>
      <w:rPr>
        <w:rFonts w:ascii="Wingdings" w:hAnsi="Wingdings" w:hint="default"/>
      </w:rPr>
    </w:lvl>
    <w:lvl w:ilvl="6" w:tplc="899CCA2E">
      <w:start w:val="1"/>
      <w:numFmt w:val="bullet"/>
      <w:lvlText w:val=""/>
      <w:lvlJc w:val="left"/>
      <w:pPr>
        <w:ind w:left="5040" w:hanging="360"/>
      </w:pPr>
      <w:rPr>
        <w:rFonts w:ascii="Symbol" w:hAnsi="Symbol" w:hint="default"/>
      </w:rPr>
    </w:lvl>
    <w:lvl w:ilvl="7" w:tplc="F0104638">
      <w:start w:val="1"/>
      <w:numFmt w:val="bullet"/>
      <w:lvlText w:val="o"/>
      <w:lvlJc w:val="left"/>
      <w:pPr>
        <w:ind w:left="5760" w:hanging="360"/>
      </w:pPr>
      <w:rPr>
        <w:rFonts w:ascii="Courier New" w:hAnsi="Courier New" w:hint="default"/>
      </w:rPr>
    </w:lvl>
    <w:lvl w:ilvl="8" w:tplc="2D2AFD50">
      <w:start w:val="1"/>
      <w:numFmt w:val="bullet"/>
      <w:lvlText w:val=""/>
      <w:lvlJc w:val="left"/>
      <w:pPr>
        <w:ind w:left="6480" w:hanging="360"/>
      </w:pPr>
      <w:rPr>
        <w:rFonts w:ascii="Wingdings" w:hAnsi="Wingdings" w:hint="default"/>
      </w:rPr>
    </w:lvl>
  </w:abstractNum>
  <w:abstractNum w:abstractNumId="13" w15:restartNumberingAfterBreak="0">
    <w:nsid w:val="20603282"/>
    <w:multiLevelType w:val="multilevel"/>
    <w:tmpl w:val="CD2E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671F1"/>
    <w:multiLevelType w:val="multilevel"/>
    <w:tmpl w:val="F7D8BF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F40307"/>
    <w:multiLevelType w:val="multilevel"/>
    <w:tmpl w:val="8402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42E4D"/>
    <w:multiLevelType w:val="multilevel"/>
    <w:tmpl w:val="F7D8BF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6A4CC4"/>
    <w:multiLevelType w:val="multilevel"/>
    <w:tmpl w:val="5C6C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B3BAAC"/>
    <w:multiLevelType w:val="hybridMultilevel"/>
    <w:tmpl w:val="DB1E8938"/>
    <w:lvl w:ilvl="0" w:tplc="9342D7B0">
      <w:start w:val="1"/>
      <w:numFmt w:val="bullet"/>
      <w:lvlText w:val=""/>
      <w:lvlJc w:val="left"/>
      <w:pPr>
        <w:ind w:left="720" w:hanging="360"/>
      </w:pPr>
      <w:rPr>
        <w:rFonts w:ascii="Symbol" w:hAnsi="Symbol" w:hint="default"/>
      </w:rPr>
    </w:lvl>
    <w:lvl w:ilvl="1" w:tplc="19A42B72">
      <w:start w:val="1"/>
      <w:numFmt w:val="bullet"/>
      <w:lvlText w:val="o"/>
      <w:lvlJc w:val="left"/>
      <w:pPr>
        <w:ind w:left="1440" w:hanging="360"/>
      </w:pPr>
      <w:rPr>
        <w:rFonts w:ascii="Courier New" w:hAnsi="Courier New" w:hint="default"/>
      </w:rPr>
    </w:lvl>
    <w:lvl w:ilvl="2" w:tplc="26BC4D6A">
      <w:start w:val="1"/>
      <w:numFmt w:val="bullet"/>
      <w:lvlText w:val=""/>
      <w:lvlJc w:val="left"/>
      <w:pPr>
        <w:ind w:left="2160" w:hanging="360"/>
      </w:pPr>
      <w:rPr>
        <w:rFonts w:ascii="Wingdings" w:hAnsi="Wingdings" w:hint="default"/>
      </w:rPr>
    </w:lvl>
    <w:lvl w:ilvl="3" w:tplc="2D78E21A">
      <w:start w:val="1"/>
      <w:numFmt w:val="bullet"/>
      <w:lvlText w:val=""/>
      <w:lvlJc w:val="left"/>
      <w:pPr>
        <w:ind w:left="2880" w:hanging="360"/>
      </w:pPr>
      <w:rPr>
        <w:rFonts w:ascii="Symbol" w:hAnsi="Symbol" w:hint="default"/>
      </w:rPr>
    </w:lvl>
    <w:lvl w:ilvl="4" w:tplc="C52CBADA">
      <w:start w:val="1"/>
      <w:numFmt w:val="bullet"/>
      <w:lvlText w:val="o"/>
      <w:lvlJc w:val="left"/>
      <w:pPr>
        <w:ind w:left="3600" w:hanging="360"/>
      </w:pPr>
      <w:rPr>
        <w:rFonts w:ascii="Courier New" w:hAnsi="Courier New" w:hint="default"/>
      </w:rPr>
    </w:lvl>
    <w:lvl w:ilvl="5" w:tplc="F7AC0B84">
      <w:start w:val="1"/>
      <w:numFmt w:val="bullet"/>
      <w:lvlText w:val=""/>
      <w:lvlJc w:val="left"/>
      <w:pPr>
        <w:ind w:left="4320" w:hanging="360"/>
      </w:pPr>
      <w:rPr>
        <w:rFonts w:ascii="Wingdings" w:hAnsi="Wingdings" w:hint="default"/>
      </w:rPr>
    </w:lvl>
    <w:lvl w:ilvl="6" w:tplc="039608B0">
      <w:start w:val="1"/>
      <w:numFmt w:val="bullet"/>
      <w:lvlText w:val=""/>
      <w:lvlJc w:val="left"/>
      <w:pPr>
        <w:ind w:left="5040" w:hanging="360"/>
      </w:pPr>
      <w:rPr>
        <w:rFonts w:ascii="Symbol" w:hAnsi="Symbol" w:hint="default"/>
      </w:rPr>
    </w:lvl>
    <w:lvl w:ilvl="7" w:tplc="A1D26052">
      <w:start w:val="1"/>
      <w:numFmt w:val="bullet"/>
      <w:lvlText w:val="o"/>
      <w:lvlJc w:val="left"/>
      <w:pPr>
        <w:ind w:left="5760" w:hanging="360"/>
      </w:pPr>
      <w:rPr>
        <w:rFonts w:ascii="Courier New" w:hAnsi="Courier New" w:hint="default"/>
      </w:rPr>
    </w:lvl>
    <w:lvl w:ilvl="8" w:tplc="82AC8B2C">
      <w:start w:val="1"/>
      <w:numFmt w:val="bullet"/>
      <w:lvlText w:val=""/>
      <w:lvlJc w:val="left"/>
      <w:pPr>
        <w:ind w:left="6480" w:hanging="360"/>
      </w:pPr>
      <w:rPr>
        <w:rFonts w:ascii="Wingdings" w:hAnsi="Wingdings" w:hint="default"/>
      </w:rPr>
    </w:lvl>
  </w:abstractNum>
  <w:abstractNum w:abstractNumId="19" w15:restartNumberingAfterBreak="0">
    <w:nsid w:val="2B2E3283"/>
    <w:multiLevelType w:val="hybridMultilevel"/>
    <w:tmpl w:val="0A36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F68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8262D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340E2E4A"/>
    <w:multiLevelType w:val="hybridMultilevel"/>
    <w:tmpl w:val="2B28E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420ED"/>
    <w:multiLevelType w:val="hybridMultilevel"/>
    <w:tmpl w:val="75769C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DB57840"/>
    <w:multiLevelType w:val="multilevel"/>
    <w:tmpl w:val="28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054E9"/>
    <w:multiLevelType w:val="hybridMultilevel"/>
    <w:tmpl w:val="6392767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7B626EB"/>
    <w:multiLevelType w:val="multilevel"/>
    <w:tmpl w:val="F7D8BF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8A15DE3"/>
    <w:multiLevelType w:val="multilevel"/>
    <w:tmpl w:val="515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0922BF"/>
    <w:multiLevelType w:val="multilevel"/>
    <w:tmpl w:val="60A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517BCD"/>
    <w:multiLevelType w:val="multilevel"/>
    <w:tmpl w:val="99AA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E6700"/>
    <w:multiLevelType w:val="hybridMultilevel"/>
    <w:tmpl w:val="AC5CC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4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4E1D9D"/>
    <w:multiLevelType w:val="multilevel"/>
    <w:tmpl w:val="7DCC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464F0"/>
    <w:multiLevelType w:val="multilevel"/>
    <w:tmpl w:val="272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023BF"/>
    <w:multiLevelType w:val="multilevel"/>
    <w:tmpl w:val="F7D8BF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56372F"/>
    <w:multiLevelType w:val="hybridMultilevel"/>
    <w:tmpl w:val="459CD8D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3E54C9"/>
    <w:multiLevelType w:val="hybridMultilevel"/>
    <w:tmpl w:val="6374AFF0"/>
    <w:lvl w:ilvl="0" w:tplc="FA34685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F4C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BD24F8"/>
    <w:multiLevelType w:val="multilevel"/>
    <w:tmpl w:val="EA3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62F8B"/>
    <w:multiLevelType w:val="multilevel"/>
    <w:tmpl w:val="66A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927969">
    <w:abstractNumId w:val="12"/>
  </w:num>
  <w:num w:numId="2" w16cid:durableId="615017935">
    <w:abstractNumId w:val="18"/>
  </w:num>
  <w:num w:numId="3" w16cid:durableId="223028535">
    <w:abstractNumId w:val="6"/>
  </w:num>
  <w:num w:numId="4" w16cid:durableId="291375292">
    <w:abstractNumId w:val="35"/>
  </w:num>
  <w:num w:numId="5" w16cid:durableId="350761562">
    <w:abstractNumId w:val="1"/>
  </w:num>
  <w:num w:numId="6" w16cid:durableId="81805726">
    <w:abstractNumId w:val="22"/>
  </w:num>
  <w:num w:numId="7" w16cid:durableId="1299994400">
    <w:abstractNumId w:val="36"/>
  </w:num>
  <w:num w:numId="8" w16cid:durableId="294019658">
    <w:abstractNumId w:val="16"/>
  </w:num>
  <w:num w:numId="9" w16cid:durableId="1309744607">
    <w:abstractNumId w:val="37"/>
  </w:num>
  <w:num w:numId="10" w16cid:durableId="1739941461">
    <w:abstractNumId w:val="31"/>
  </w:num>
  <w:num w:numId="11" w16cid:durableId="1898930908">
    <w:abstractNumId w:val="14"/>
  </w:num>
  <w:num w:numId="12" w16cid:durableId="544215737">
    <w:abstractNumId w:val="28"/>
  </w:num>
  <w:num w:numId="13" w16cid:durableId="439178973">
    <w:abstractNumId w:val="29"/>
  </w:num>
  <w:num w:numId="14" w16cid:durableId="2122451645">
    <w:abstractNumId w:val="32"/>
  </w:num>
  <w:num w:numId="15" w16cid:durableId="1484396315">
    <w:abstractNumId w:val="5"/>
  </w:num>
  <w:num w:numId="16" w16cid:durableId="911544378">
    <w:abstractNumId w:val="0"/>
  </w:num>
  <w:num w:numId="17" w16cid:durableId="1793985459">
    <w:abstractNumId w:val="2"/>
  </w:num>
  <w:num w:numId="18" w16cid:durableId="1788036717">
    <w:abstractNumId w:val="11"/>
  </w:num>
  <w:num w:numId="19" w16cid:durableId="1298296268">
    <w:abstractNumId w:val="33"/>
  </w:num>
  <w:num w:numId="20" w16cid:durableId="872159932">
    <w:abstractNumId w:val="27"/>
  </w:num>
  <w:num w:numId="21" w16cid:durableId="153106064">
    <w:abstractNumId w:val="17"/>
  </w:num>
  <w:num w:numId="22" w16cid:durableId="43063325">
    <w:abstractNumId w:val="24"/>
  </w:num>
  <w:num w:numId="23" w16cid:durableId="255677441">
    <w:abstractNumId w:val="38"/>
  </w:num>
  <w:num w:numId="24" w16cid:durableId="1521890449">
    <w:abstractNumId w:val="7"/>
  </w:num>
  <w:num w:numId="25" w16cid:durableId="854272336">
    <w:abstractNumId w:val="39"/>
  </w:num>
  <w:num w:numId="26" w16cid:durableId="654264268">
    <w:abstractNumId w:val="4"/>
  </w:num>
  <w:num w:numId="27" w16cid:durableId="820998806">
    <w:abstractNumId w:val="13"/>
  </w:num>
  <w:num w:numId="28" w16cid:durableId="1701399633">
    <w:abstractNumId w:val="19"/>
  </w:num>
  <w:num w:numId="29" w16cid:durableId="785462698">
    <w:abstractNumId w:val="23"/>
  </w:num>
  <w:num w:numId="30" w16cid:durableId="1519001081">
    <w:abstractNumId w:val="26"/>
  </w:num>
  <w:num w:numId="31" w16cid:durableId="1075280788">
    <w:abstractNumId w:val="34"/>
  </w:num>
  <w:num w:numId="32" w16cid:durableId="132869565">
    <w:abstractNumId w:val="10"/>
  </w:num>
  <w:num w:numId="33" w16cid:durableId="1783181016">
    <w:abstractNumId w:val="30"/>
  </w:num>
  <w:num w:numId="34" w16cid:durableId="1155412709">
    <w:abstractNumId w:val="20"/>
  </w:num>
  <w:num w:numId="35" w16cid:durableId="568267861">
    <w:abstractNumId w:val="3"/>
  </w:num>
  <w:num w:numId="36" w16cid:durableId="534658777">
    <w:abstractNumId w:val="9"/>
  </w:num>
  <w:num w:numId="37" w16cid:durableId="1786926146">
    <w:abstractNumId w:val="8"/>
  </w:num>
  <w:num w:numId="38" w16cid:durableId="1608997961">
    <w:abstractNumId w:val="21"/>
  </w:num>
  <w:num w:numId="39" w16cid:durableId="2047946467">
    <w:abstractNumId w:val="21"/>
  </w:num>
  <w:num w:numId="40" w16cid:durableId="312030162">
    <w:abstractNumId w:val="25"/>
  </w:num>
  <w:num w:numId="41" w16cid:durableId="1597594186">
    <w:abstractNumId w:val="21"/>
  </w:num>
  <w:num w:numId="42" w16cid:durableId="398290631">
    <w:abstractNumId w:val="21"/>
  </w:num>
  <w:num w:numId="43" w16cid:durableId="2068337740">
    <w:abstractNumId w:val="21"/>
  </w:num>
  <w:num w:numId="44" w16cid:durableId="466092428">
    <w:abstractNumId w:val="15"/>
  </w:num>
  <w:num w:numId="45" w16cid:durableId="1010179240">
    <w:abstractNumId w:val="21"/>
  </w:num>
  <w:num w:numId="46" w16cid:durableId="18261197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74"/>
    <w:rsid w:val="0000037E"/>
    <w:rsid w:val="0000044C"/>
    <w:rsid w:val="00002637"/>
    <w:rsid w:val="00002964"/>
    <w:rsid w:val="000040FD"/>
    <w:rsid w:val="00004437"/>
    <w:rsid w:val="00004F6C"/>
    <w:rsid w:val="000065CE"/>
    <w:rsid w:val="00010BFF"/>
    <w:rsid w:val="00010EAD"/>
    <w:rsid w:val="00011299"/>
    <w:rsid w:val="000122D8"/>
    <w:rsid w:val="000124A9"/>
    <w:rsid w:val="00013249"/>
    <w:rsid w:val="000138F8"/>
    <w:rsid w:val="00014390"/>
    <w:rsid w:val="00015505"/>
    <w:rsid w:val="00016689"/>
    <w:rsid w:val="00016B87"/>
    <w:rsid w:val="00022F60"/>
    <w:rsid w:val="000234D0"/>
    <w:rsid w:val="0002396F"/>
    <w:rsid w:val="00023E0D"/>
    <w:rsid w:val="00024F21"/>
    <w:rsid w:val="00025D47"/>
    <w:rsid w:val="00026902"/>
    <w:rsid w:val="000269CF"/>
    <w:rsid w:val="00027215"/>
    <w:rsid w:val="00030411"/>
    <w:rsid w:val="00030BD5"/>
    <w:rsid w:val="00030D1D"/>
    <w:rsid w:val="00033284"/>
    <w:rsid w:val="000338C0"/>
    <w:rsid w:val="00034852"/>
    <w:rsid w:val="00034E75"/>
    <w:rsid w:val="00036B7E"/>
    <w:rsid w:val="00040620"/>
    <w:rsid w:val="00041A9E"/>
    <w:rsid w:val="0004228D"/>
    <w:rsid w:val="000437AB"/>
    <w:rsid w:val="0004429A"/>
    <w:rsid w:val="000446BA"/>
    <w:rsid w:val="00044B6F"/>
    <w:rsid w:val="000465BC"/>
    <w:rsid w:val="0004A1C8"/>
    <w:rsid w:val="00050F84"/>
    <w:rsid w:val="00052D62"/>
    <w:rsid w:val="000546F5"/>
    <w:rsid w:val="00054909"/>
    <w:rsid w:val="000558B9"/>
    <w:rsid w:val="00055B9B"/>
    <w:rsid w:val="0005605B"/>
    <w:rsid w:val="0005636E"/>
    <w:rsid w:val="00056ED9"/>
    <w:rsid w:val="00057327"/>
    <w:rsid w:val="000574CC"/>
    <w:rsid w:val="00057A8B"/>
    <w:rsid w:val="00060226"/>
    <w:rsid w:val="000602BE"/>
    <w:rsid w:val="00063DE5"/>
    <w:rsid w:val="0006536C"/>
    <w:rsid w:val="00065807"/>
    <w:rsid w:val="000659AC"/>
    <w:rsid w:val="0006686B"/>
    <w:rsid w:val="0006713A"/>
    <w:rsid w:val="00067869"/>
    <w:rsid w:val="000708C0"/>
    <w:rsid w:val="00071F85"/>
    <w:rsid w:val="00072851"/>
    <w:rsid w:val="00072AAC"/>
    <w:rsid w:val="00072AC3"/>
    <w:rsid w:val="00073321"/>
    <w:rsid w:val="00074842"/>
    <w:rsid w:val="000757FD"/>
    <w:rsid w:val="000761D8"/>
    <w:rsid w:val="00076364"/>
    <w:rsid w:val="000766C1"/>
    <w:rsid w:val="000768EC"/>
    <w:rsid w:val="00080D92"/>
    <w:rsid w:val="000810F2"/>
    <w:rsid w:val="000821AE"/>
    <w:rsid w:val="000823FA"/>
    <w:rsid w:val="00083F65"/>
    <w:rsid w:val="00084C1B"/>
    <w:rsid w:val="0008516A"/>
    <w:rsid w:val="00085407"/>
    <w:rsid w:val="000856D6"/>
    <w:rsid w:val="000856E9"/>
    <w:rsid w:val="0008608E"/>
    <w:rsid w:val="00086438"/>
    <w:rsid w:val="000865FA"/>
    <w:rsid w:val="00086B1D"/>
    <w:rsid w:val="000870BE"/>
    <w:rsid w:val="0008725D"/>
    <w:rsid w:val="00087A47"/>
    <w:rsid w:val="00087B27"/>
    <w:rsid w:val="00090B68"/>
    <w:rsid w:val="00090D6E"/>
    <w:rsid w:val="00092BC2"/>
    <w:rsid w:val="00092CD2"/>
    <w:rsid w:val="00092DFD"/>
    <w:rsid w:val="00092E73"/>
    <w:rsid w:val="000933D6"/>
    <w:rsid w:val="00093A21"/>
    <w:rsid w:val="00095A88"/>
    <w:rsid w:val="00097E5D"/>
    <w:rsid w:val="0009E2AB"/>
    <w:rsid w:val="000A1A15"/>
    <w:rsid w:val="000A1D11"/>
    <w:rsid w:val="000A31C8"/>
    <w:rsid w:val="000A3539"/>
    <w:rsid w:val="000A3815"/>
    <w:rsid w:val="000A67E5"/>
    <w:rsid w:val="000A6945"/>
    <w:rsid w:val="000A6DAA"/>
    <w:rsid w:val="000A7D9E"/>
    <w:rsid w:val="000B06F0"/>
    <w:rsid w:val="000B22DE"/>
    <w:rsid w:val="000B4756"/>
    <w:rsid w:val="000B490A"/>
    <w:rsid w:val="000B53B2"/>
    <w:rsid w:val="000B5E6D"/>
    <w:rsid w:val="000B6EB9"/>
    <w:rsid w:val="000B7195"/>
    <w:rsid w:val="000C1BD5"/>
    <w:rsid w:val="000C284C"/>
    <w:rsid w:val="000C2E9D"/>
    <w:rsid w:val="000C3FE4"/>
    <w:rsid w:val="000C4169"/>
    <w:rsid w:val="000C4D3F"/>
    <w:rsid w:val="000C5A41"/>
    <w:rsid w:val="000C5B5D"/>
    <w:rsid w:val="000C6365"/>
    <w:rsid w:val="000D15AD"/>
    <w:rsid w:val="000D1BFD"/>
    <w:rsid w:val="000D1D6A"/>
    <w:rsid w:val="000D2170"/>
    <w:rsid w:val="000D2528"/>
    <w:rsid w:val="000D2DE5"/>
    <w:rsid w:val="000D3372"/>
    <w:rsid w:val="000D4389"/>
    <w:rsid w:val="000D4BA2"/>
    <w:rsid w:val="000D5B48"/>
    <w:rsid w:val="000D60E6"/>
    <w:rsid w:val="000D6117"/>
    <w:rsid w:val="000D624B"/>
    <w:rsid w:val="000D701E"/>
    <w:rsid w:val="000D746B"/>
    <w:rsid w:val="000D7DC4"/>
    <w:rsid w:val="000E2635"/>
    <w:rsid w:val="000E2A28"/>
    <w:rsid w:val="000E46E4"/>
    <w:rsid w:val="000E516B"/>
    <w:rsid w:val="000E6419"/>
    <w:rsid w:val="000E6A87"/>
    <w:rsid w:val="000F0788"/>
    <w:rsid w:val="000F12A3"/>
    <w:rsid w:val="000F15FF"/>
    <w:rsid w:val="000F1C43"/>
    <w:rsid w:val="000F1E4E"/>
    <w:rsid w:val="000F209B"/>
    <w:rsid w:val="000F3D7C"/>
    <w:rsid w:val="000F4624"/>
    <w:rsid w:val="000F4CBF"/>
    <w:rsid w:val="000F50D8"/>
    <w:rsid w:val="000F56C1"/>
    <w:rsid w:val="000F5915"/>
    <w:rsid w:val="000F62AD"/>
    <w:rsid w:val="000F69CF"/>
    <w:rsid w:val="000F6B68"/>
    <w:rsid w:val="000F6B78"/>
    <w:rsid w:val="000F7222"/>
    <w:rsid w:val="000F7FFC"/>
    <w:rsid w:val="00100412"/>
    <w:rsid w:val="0010070B"/>
    <w:rsid w:val="00100E51"/>
    <w:rsid w:val="00101835"/>
    <w:rsid w:val="00102A0F"/>
    <w:rsid w:val="00102A41"/>
    <w:rsid w:val="001039EE"/>
    <w:rsid w:val="00104B23"/>
    <w:rsid w:val="00105573"/>
    <w:rsid w:val="00107C72"/>
    <w:rsid w:val="0011066F"/>
    <w:rsid w:val="00110BCA"/>
    <w:rsid w:val="00110E37"/>
    <w:rsid w:val="0011165C"/>
    <w:rsid w:val="00111D6B"/>
    <w:rsid w:val="00111DDE"/>
    <w:rsid w:val="00112C86"/>
    <w:rsid w:val="00112F05"/>
    <w:rsid w:val="001131C9"/>
    <w:rsid w:val="001136E5"/>
    <w:rsid w:val="00113B66"/>
    <w:rsid w:val="001140EB"/>
    <w:rsid w:val="001143C5"/>
    <w:rsid w:val="00114753"/>
    <w:rsid w:val="001164D3"/>
    <w:rsid w:val="00117477"/>
    <w:rsid w:val="00120550"/>
    <w:rsid w:val="001220DC"/>
    <w:rsid w:val="001230C3"/>
    <w:rsid w:val="001248BC"/>
    <w:rsid w:val="00124A52"/>
    <w:rsid w:val="00124E27"/>
    <w:rsid w:val="00125482"/>
    <w:rsid w:val="00125EE1"/>
    <w:rsid w:val="0012660C"/>
    <w:rsid w:val="00126646"/>
    <w:rsid w:val="0012751B"/>
    <w:rsid w:val="001278C2"/>
    <w:rsid w:val="00130B96"/>
    <w:rsid w:val="001313A6"/>
    <w:rsid w:val="0013215F"/>
    <w:rsid w:val="00132B01"/>
    <w:rsid w:val="00134245"/>
    <w:rsid w:val="00134EE6"/>
    <w:rsid w:val="00135E86"/>
    <w:rsid w:val="00136306"/>
    <w:rsid w:val="00137883"/>
    <w:rsid w:val="00137E80"/>
    <w:rsid w:val="001407D3"/>
    <w:rsid w:val="00140F58"/>
    <w:rsid w:val="001425C8"/>
    <w:rsid w:val="001429CF"/>
    <w:rsid w:val="00142E83"/>
    <w:rsid w:val="00142FD9"/>
    <w:rsid w:val="0014395C"/>
    <w:rsid w:val="00143983"/>
    <w:rsid w:val="00143B2B"/>
    <w:rsid w:val="001451B3"/>
    <w:rsid w:val="0014583E"/>
    <w:rsid w:val="001459CA"/>
    <w:rsid w:val="001469A1"/>
    <w:rsid w:val="001516CD"/>
    <w:rsid w:val="001520E3"/>
    <w:rsid w:val="001524FD"/>
    <w:rsid w:val="00152AFD"/>
    <w:rsid w:val="00152C02"/>
    <w:rsid w:val="001544FA"/>
    <w:rsid w:val="0015514F"/>
    <w:rsid w:val="001555F5"/>
    <w:rsid w:val="001558AC"/>
    <w:rsid w:val="00156838"/>
    <w:rsid w:val="001568F1"/>
    <w:rsid w:val="00157F36"/>
    <w:rsid w:val="0016003E"/>
    <w:rsid w:val="001603EB"/>
    <w:rsid w:val="00160572"/>
    <w:rsid w:val="001608AB"/>
    <w:rsid w:val="00160C66"/>
    <w:rsid w:val="001647B7"/>
    <w:rsid w:val="00164E24"/>
    <w:rsid w:val="001664AB"/>
    <w:rsid w:val="0016724D"/>
    <w:rsid w:val="001677B0"/>
    <w:rsid w:val="0016785D"/>
    <w:rsid w:val="00167B82"/>
    <w:rsid w:val="00167CBF"/>
    <w:rsid w:val="00170B39"/>
    <w:rsid w:val="00171613"/>
    <w:rsid w:val="0017280E"/>
    <w:rsid w:val="00172A0B"/>
    <w:rsid w:val="00173682"/>
    <w:rsid w:val="00173F22"/>
    <w:rsid w:val="00174EE2"/>
    <w:rsid w:val="0017546E"/>
    <w:rsid w:val="001761CE"/>
    <w:rsid w:val="001763FC"/>
    <w:rsid w:val="001767C7"/>
    <w:rsid w:val="00176D61"/>
    <w:rsid w:val="001771B5"/>
    <w:rsid w:val="00177909"/>
    <w:rsid w:val="00181B99"/>
    <w:rsid w:val="00181BA8"/>
    <w:rsid w:val="00182713"/>
    <w:rsid w:val="00182FBC"/>
    <w:rsid w:val="0018518A"/>
    <w:rsid w:val="00185754"/>
    <w:rsid w:val="00185C24"/>
    <w:rsid w:val="00187948"/>
    <w:rsid w:val="00190E97"/>
    <w:rsid w:val="00190F51"/>
    <w:rsid w:val="001911A8"/>
    <w:rsid w:val="0019142F"/>
    <w:rsid w:val="00193552"/>
    <w:rsid w:val="001942CE"/>
    <w:rsid w:val="00194C35"/>
    <w:rsid w:val="001963FE"/>
    <w:rsid w:val="00196408"/>
    <w:rsid w:val="00196A69"/>
    <w:rsid w:val="001970D3"/>
    <w:rsid w:val="00197934"/>
    <w:rsid w:val="001A0A50"/>
    <w:rsid w:val="001A0F9C"/>
    <w:rsid w:val="001A1565"/>
    <w:rsid w:val="001A2189"/>
    <w:rsid w:val="001A21BD"/>
    <w:rsid w:val="001A23DF"/>
    <w:rsid w:val="001A3D8F"/>
    <w:rsid w:val="001A7A64"/>
    <w:rsid w:val="001B06CF"/>
    <w:rsid w:val="001B09FA"/>
    <w:rsid w:val="001B11EC"/>
    <w:rsid w:val="001B2653"/>
    <w:rsid w:val="001B35D5"/>
    <w:rsid w:val="001B3A90"/>
    <w:rsid w:val="001B4203"/>
    <w:rsid w:val="001B59A7"/>
    <w:rsid w:val="001B6110"/>
    <w:rsid w:val="001B7069"/>
    <w:rsid w:val="001C0AF0"/>
    <w:rsid w:val="001C0D9C"/>
    <w:rsid w:val="001C1227"/>
    <w:rsid w:val="001C22D7"/>
    <w:rsid w:val="001C2A18"/>
    <w:rsid w:val="001C3102"/>
    <w:rsid w:val="001C4D17"/>
    <w:rsid w:val="001C515A"/>
    <w:rsid w:val="001C7AEF"/>
    <w:rsid w:val="001C7D3E"/>
    <w:rsid w:val="001D049B"/>
    <w:rsid w:val="001D374D"/>
    <w:rsid w:val="001D38C3"/>
    <w:rsid w:val="001D3ACB"/>
    <w:rsid w:val="001D423D"/>
    <w:rsid w:val="001D4CB7"/>
    <w:rsid w:val="001D52C4"/>
    <w:rsid w:val="001D5F15"/>
    <w:rsid w:val="001D7309"/>
    <w:rsid w:val="001D74C3"/>
    <w:rsid w:val="001D752F"/>
    <w:rsid w:val="001E1322"/>
    <w:rsid w:val="001E1C42"/>
    <w:rsid w:val="001E2ACC"/>
    <w:rsid w:val="001E2D2E"/>
    <w:rsid w:val="001E2DA7"/>
    <w:rsid w:val="001E2E39"/>
    <w:rsid w:val="001E4CFF"/>
    <w:rsid w:val="001E54E0"/>
    <w:rsid w:val="001E597F"/>
    <w:rsid w:val="001E5998"/>
    <w:rsid w:val="001E5AD7"/>
    <w:rsid w:val="001E6E0F"/>
    <w:rsid w:val="001F0525"/>
    <w:rsid w:val="001F0EDB"/>
    <w:rsid w:val="001F1067"/>
    <w:rsid w:val="001F190C"/>
    <w:rsid w:val="001F39DF"/>
    <w:rsid w:val="001F53F5"/>
    <w:rsid w:val="001F5735"/>
    <w:rsid w:val="001F6134"/>
    <w:rsid w:val="001F64AE"/>
    <w:rsid w:val="001F682D"/>
    <w:rsid w:val="001F6CA9"/>
    <w:rsid w:val="001F7354"/>
    <w:rsid w:val="00200A49"/>
    <w:rsid w:val="00202430"/>
    <w:rsid w:val="00202707"/>
    <w:rsid w:val="00203741"/>
    <w:rsid w:val="00204E8F"/>
    <w:rsid w:val="00204F66"/>
    <w:rsid w:val="00205358"/>
    <w:rsid w:val="00205468"/>
    <w:rsid w:val="002057B1"/>
    <w:rsid w:val="00205A2C"/>
    <w:rsid w:val="00206981"/>
    <w:rsid w:val="00210FC0"/>
    <w:rsid w:val="002114D6"/>
    <w:rsid w:val="002117CC"/>
    <w:rsid w:val="002118F4"/>
    <w:rsid w:val="00213239"/>
    <w:rsid w:val="00213832"/>
    <w:rsid w:val="00213AB5"/>
    <w:rsid w:val="002146D5"/>
    <w:rsid w:val="002164A6"/>
    <w:rsid w:val="00216894"/>
    <w:rsid w:val="0022018E"/>
    <w:rsid w:val="002205D0"/>
    <w:rsid w:val="002207A4"/>
    <w:rsid w:val="002219C0"/>
    <w:rsid w:val="00222450"/>
    <w:rsid w:val="0022311A"/>
    <w:rsid w:val="002233C0"/>
    <w:rsid w:val="00224716"/>
    <w:rsid w:val="00225AE3"/>
    <w:rsid w:val="00225C3E"/>
    <w:rsid w:val="0022605B"/>
    <w:rsid w:val="00227B08"/>
    <w:rsid w:val="00227FA0"/>
    <w:rsid w:val="00230C1D"/>
    <w:rsid w:val="00231794"/>
    <w:rsid w:val="002319F0"/>
    <w:rsid w:val="00234D28"/>
    <w:rsid w:val="002350AA"/>
    <w:rsid w:val="00235499"/>
    <w:rsid w:val="002360BF"/>
    <w:rsid w:val="00236795"/>
    <w:rsid w:val="002369E8"/>
    <w:rsid w:val="00236A98"/>
    <w:rsid w:val="00237305"/>
    <w:rsid w:val="002376C0"/>
    <w:rsid w:val="002378CD"/>
    <w:rsid w:val="0024188B"/>
    <w:rsid w:val="00241AF6"/>
    <w:rsid w:val="002421F1"/>
    <w:rsid w:val="00242441"/>
    <w:rsid w:val="0024248F"/>
    <w:rsid w:val="00242496"/>
    <w:rsid w:val="00242F11"/>
    <w:rsid w:val="00244034"/>
    <w:rsid w:val="00244C3A"/>
    <w:rsid w:val="002453DF"/>
    <w:rsid w:val="0024565B"/>
    <w:rsid w:val="0024578F"/>
    <w:rsid w:val="00245AD9"/>
    <w:rsid w:val="002465E7"/>
    <w:rsid w:val="00246EF0"/>
    <w:rsid w:val="00246F83"/>
    <w:rsid w:val="002479B7"/>
    <w:rsid w:val="00247E8B"/>
    <w:rsid w:val="00250130"/>
    <w:rsid w:val="00250207"/>
    <w:rsid w:val="00250689"/>
    <w:rsid w:val="0025141F"/>
    <w:rsid w:val="00251487"/>
    <w:rsid w:val="00251B64"/>
    <w:rsid w:val="00252182"/>
    <w:rsid w:val="0025229C"/>
    <w:rsid w:val="00252712"/>
    <w:rsid w:val="00252DB8"/>
    <w:rsid w:val="00253512"/>
    <w:rsid w:val="00253C23"/>
    <w:rsid w:val="00253E31"/>
    <w:rsid w:val="00254536"/>
    <w:rsid w:val="0025628F"/>
    <w:rsid w:val="002569E8"/>
    <w:rsid w:val="00260733"/>
    <w:rsid w:val="00264FB5"/>
    <w:rsid w:val="0026646F"/>
    <w:rsid w:val="00266589"/>
    <w:rsid w:val="00270073"/>
    <w:rsid w:val="00270209"/>
    <w:rsid w:val="00270846"/>
    <w:rsid w:val="0027089E"/>
    <w:rsid w:val="00271919"/>
    <w:rsid w:val="0027232A"/>
    <w:rsid w:val="002729C3"/>
    <w:rsid w:val="00273449"/>
    <w:rsid w:val="002749E6"/>
    <w:rsid w:val="0027505F"/>
    <w:rsid w:val="0027618F"/>
    <w:rsid w:val="00276622"/>
    <w:rsid w:val="002768D3"/>
    <w:rsid w:val="00277933"/>
    <w:rsid w:val="00277F8B"/>
    <w:rsid w:val="00280F60"/>
    <w:rsid w:val="0028343D"/>
    <w:rsid w:val="00283FE8"/>
    <w:rsid w:val="00284037"/>
    <w:rsid w:val="0028447B"/>
    <w:rsid w:val="002846E3"/>
    <w:rsid w:val="0028598F"/>
    <w:rsid w:val="00286105"/>
    <w:rsid w:val="00286200"/>
    <w:rsid w:val="00290992"/>
    <w:rsid w:val="00290A17"/>
    <w:rsid w:val="002926B7"/>
    <w:rsid w:val="002926C6"/>
    <w:rsid w:val="002935EF"/>
    <w:rsid w:val="00293E83"/>
    <w:rsid w:val="0029560C"/>
    <w:rsid w:val="002959ED"/>
    <w:rsid w:val="0029661C"/>
    <w:rsid w:val="002969E0"/>
    <w:rsid w:val="00297561"/>
    <w:rsid w:val="002977AF"/>
    <w:rsid w:val="002A11C1"/>
    <w:rsid w:val="002A17E3"/>
    <w:rsid w:val="002A1E29"/>
    <w:rsid w:val="002A4831"/>
    <w:rsid w:val="002A4FCA"/>
    <w:rsid w:val="002A525E"/>
    <w:rsid w:val="002A5992"/>
    <w:rsid w:val="002A6A5A"/>
    <w:rsid w:val="002A6BE1"/>
    <w:rsid w:val="002A6BF1"/>
    <w:rsid w:val="002A7F9C"/>
    <w:rsid w:val="002B0F44"/>
    <w:rsid w:val="002B1BBC"/>
    <w:rsid w:val="002B1E03"/>
    <w:rsid w:val="002B267E"/>
    <w:rsid w:val="002B2688"/>
    <w:rsid w:val="002B2F13"/>
    <w:rsid w:val="002B3434"/>
    <w:rsid w:val="002B3F0F"/>
    <w:rsid w:val="002B48F7"/>
    <w:rsid w:val="002B53F1"/>
    <w:rsid w:val="002B563A"/>
    <w:rsid w:val="002B7C6A"/>
    <w:rsid w:val="002B7CE3"/>
    <w:rsid w:val="002C248E"/>
    <w:rsid w:val="002C3E93"/>
    <w:rsid w:val="002C4406"/>
    <w:rsid w:val="002C4AF6"/>
    <w:rsid w:val="002C4D52"/>
    <w:rsid w:val="002C507A"/>
    <w:rsid w:val="002C5831"/>
    <w:rsid w:val="002C5E4C"/>
    <w:rsid w:val="002C6857"/>
    <w:rsid w:val="002C6AEC"/>
    <w:rsid w:val="002C75BE"/>
    <w:rsid w:val="002C7D44"/>
    <w:rsid w:val="002D009F"/>
    <w:rsid w:val="002D010F"/>
    <w:rsid w:val="002D0B5D"/>
    <w:rsid w:val="002D175A"/>
    <w:rsid w:val="002D246B"/>
    <w:rsid w:val="002D2FBD"/>
    <w:rsid w:val="002D3363"/>
    <w:rsid w:val="002D36AC"/>
    <w:rsid w:val="002D3EEE"/>
    <w:rsid w:val="002D412F"/>
    <w:rsid w:val="002D5258"/>
    <w:rsid w:val="002D5DA5"/>
    <w:rsid w:val="002D73AE"/>
    <w:rsid w:val="002D7484"/>
    <w:rsid w:val="002E129C"/>
    <w:rsid w:val="002E16D2"/>
    <w:rsid w:val="002E3114"/>
    <w:rsid w:val="002E3555"/>
    <w:rsid w:val="002E3877"/>
    <w:rsid w:val="002E6D01"/>
    <w:rsid w:val="002E6E08"/>
    <w:rsid w:val="002E745D"/>
    <w:rsid w:val="002E76A0"/>
    <w:rsid w:val="002E7BEE"/>
    <w:rsid w:val="002E7D27"/>
    <w:rsid w:val="002F0E9B"/>
    <w:rsid w:val="002F116C"/>
    <w:rsid w:val="002F27D6"/>
    <w:rsid w:val="002F33D4"/>
    <w:rsid w:val="002F407D"/>
    <w:rsid w:val="002F4E48"/>
    <w:rsid w:val="002F55E4"/>
    <w:rsid w:val="002F5689"/>
    <w:rsid w:val="002F5FE5"/>
    <w:rsid w:val="002F735E"/>
    <w:rsid w:val="002F760F"/>
    <w:rsid w:val="00300D08"/>
    <w:rsid w:val="0030154B"/>
    <w:rsid w:val="0030177E"/>
    <w:rsid w:val="00301976"/>
    <w:rsid w:val="00302560"/>
    <w:rsid w:val="00302ABC"/>
    <w:rsid w:val="003040AE"/>
    <w:rsid w:val="003040EB"/>
    <w:rsid w:val="00304834"/>
    <w:rsid w:val="003049CB"/>
    <w:rsid w:val="003052B3"/>
    <w:rsid w:val="003058D7"/>
    <w:rsid w:val="00305CD1"/>
    <w:rsid w:val="00306931"/>
    <w:rsid w:val="00306EA2"/>
    <w:rsid w:val="00306F24"/>
    <w:rsid w:val="00307868"/>
    <w:rsid w:val="00307B9B"/>
    <w:rsid w:val="003100FE"/>
    <w:rsid w:val="003114B1"/>
    <w:rsid w:val="00311DBB"/>
    <w:rsid w:val="003121AB"/>
    <w:rsid w:val="00313275"/>
    <w:rsid w:val="003133DF"/>
    <w:rsid w:val="00313774"/>
    <w:rsid w:val="00313841"/>
    <w:rsid w:val="00313D52"/>
    <w:rsid w:val="00314F6D"/>
    <w:rsid w:val="00315A4C"/>
    <w:rsid w:val="00315E8C"/>
    <w:rsid w:val="00316183"/>
    <w:rsid w:val="0031635D"/>
    <w:rsid w:val="003174AF"/>
    <w:rsid w:val="00317D5F"/>
    <w:rsid w:val="00320CB8"/>
    <w:rsid w:val="003214BC"/>
    <w:rsid w:val="00321699"/>
    <w:rsid w:val="003219C2"/>
    <w:rsid w:val="00321F39"/>
    <w:rsid w:val="003229F3"/>
    <w:rsid w:val="00322F54"/>
    <w:rsid w:val="00325024"/>
    <w:rsid w:val="00325269"/>
    <w:rsid w:val="00325FAC"/>
    <w:rsid w:val="00327355"/>
    <w:rsid w:val="00330566"/>
    <w:rsid w:val="00330891"/>
    <w:rsid w:val="00330AEF"/>
    <w:rsid w:val="0033220A"/>
    <w:rsid w:val="00333830"/>
    <w:rsid w:val="00333A99"/>
    <w:rsid w:val="00333EBB"/>
    <w:rsid w:val="003348C0"/>
    <w:rsid w:val="00334D9D"/>
    <w:rsid w:val="003351B6"/>
    <w:rsid w:val="003360A2"/>
    <w:rsid w:val="00336FBC"/>
    <w:rsid w:val="003371B2"/>
    <w:rsid w:val="00337616"/>
    <w:rsid w:val="00337A46"/>
    <w:rsid w:val="00341D8B"/>
    <w:rsid w:val="00341E6B"/>
    <w:rsid w:val="00342C55"/>
    <w:rsid w:val="00343573"/>
    <w:rsid w:val="00343C54"/>
    <w:rsid w:val="00344A44"/>
    <w:rsid w:val="00344D57"/>
    <w:rsid w:val="00345213"/>
    <w:rsid w:val="00346003"/>
    <w:rsid w:val="00346065"/>
    <w:rsid w:val="00346ECF"/>
    <w:rsid w:val="00347218"/>
    <w:rsid w:val="00347CEB"/>
    <w:rsid w:val="003501B8"/>
    <w:rsid w:val="00350963"/>
    <w:rsid w:val="00350996"/>
    <w:rsid w:val="00350D4B"/>
    <w:rsid w:val="003511CF"/>
    <w:rsid w:val="003518E7"/>
    <w:rsid w:val="003519BC"/>
    <w:rsid w:val="00351FB3"/>
    <w:rsid w:val="00352A82"/>
    <w:rsid w:val="00353996"/>
    <w:rsid w:val="00353FC5"/>
    <w:rsid w:val="0035406C"/>
    <w:rsid w:val="00354877"/>
    <w:rsid w:val="00355161"/>
    <w:rsid w:val="00355EC8"/>
    <w:rsid w:val="003570F9"/>
    <w:rsid w:val="003577F1"/>
    <w:rsid w:val="00360EC9"/>
    <w:rsid w:val="0036117F"/>
    <w:rsid w:val="0036125B"/>
    <w:rsid w:val="00361E2D"/>
    <w:rsid w:val="00362ACB"/>
    <w:rsid w:val="003636E2"/>
    <w:rsid w:val="00363D6F"/>
    <w:rsid w:val="00364BAE"/>
    <w:rsid w:val="00365680"/>
    <w:rsid w:val="00365686"/>
    <w:rsid w:val="003659F1"/>
    <w:rsid w:val="0036799D"/>
    <w:rsid w:val="003708B5"/>
    <w:rsid w:val="00370ACF"/>
    <w:rsid w:val="0037136B"/>
    <w:rsid w:val="00371A4C"/>
    <w:rsid w:val="003722BE"/>
    <w:rsid w:val="00372EC8"/>
    <w:rsid w:val="00373611"/>
    <w:rsid w:val="00373BCB"/>
    <w:rsid w:val="00375156"/>
    <w:rsid w:val="00375E4B"/>
    <w:rsid w:val="00375F20"/>
    <w:rsid w:val="003771E7"/>
    <w:rsid w:val="003778A0"/>
    <w:rsid w:val="00377978"/>
    <w:rsid w:val="00377E96"/>
    <w:rsid w:val="00380D7F"/>
    <w:rsid w:val="00383F17"/>
    <w:rsid w:val="00384A77"/>
    <w:rsid w:val="00385FF5"/>
    <w:rsid w:val="00386081"/>
    <w:rsid w:val="003872B3"/>
    <w:rsid w:val="003905CC"/>
    <w:rsid w:val="00390B0E"/>
    <w:rsid w:val="0039178B"/>
    <w:rsid w:val="0039258E"/>
    <w:rsid w:val="00393776"/>
    <w:rsid w:val="00393B17"/>
    <w:rsid w:val="00394AB2"/>
    <w:rsid w:val="00394BAB"/>
    <w:rsid w:val="0039520F"/>
    <w:rsid w:val="00395D88"/>
    <w:rsid w:val="00396F02"/>
    <w:rsid w:val="0039777B"/>
    <w:rsid w:val="003A136B"/>
    <w:rsid w:val="003A25C8"/>
    <w:rsid w:val="003A26F4"/>
    <w:rsid w:val="003A27E3"/>
    <w:rsid w:val="003A3147"/>
    <w:rsid w:val="003A3654"/>
    <w:rsid w:val="003A38FA"/>
    <w:rsid w:val="003A3BAC"/>
    <w:rsid w:val="003A41FC"/>
    <w:rsid w:val="003A4208"/>
    <w:rsid w:val="003A5597"/>
    <w:rsid w:val="003A585F"/>
    <w:rsid w:val="003A704F"/>
    <w:rsid w:val="003B085D"/>
    <w:rsid w:val="003B3227"/>
    <w:rsid w:val="003B336E"/>
    <w:rsid w:val="003B4C07"/>
    <w:rsid w:val="003B4CE8"/>
    <w:rsid w:val="003B4FB0"/>
    <w:rsid w:val="003B507C"/>
    <w:rsid w:val="003B5101"/>
    <w:rsid w:val="003B638D"/>
    <w:rsid w:val="003B6599"/>
    <w:rsid w:val="003B659C"/>
    <w:rsid w:val="003B680F"/>
    <w:rsid w:val="003B7092"/>
    <w:rsid w:val="003B730A"/>
    <w:rsid w:val="003C2463"/>
    <w:rsid w:val="003C2B40"/>
    <w:rsid w:val="003C3BE1"/>
    <w:rsid w:val="003C43FB"/>
    <w:rsid w:val="003C4776"/>
    <w:rsid w:val="003C4C1C"/>
    <w:rsid w:val="003C52F7"/>
    <w:rsid w:val="003C6C6B"/>
    <w:rsid w:val="003C6E0E"/>
    <w:rsid w:val="003C7008"/>
    <w:rsid w:val="003C7805"/>
    <w:rsid w:val="003C7FA2"/>
    <w:rsid w:val="003D1867"/>
    <w:rsid w:val="003D1F00"/>
    <w:rsid w:val="003D324D"/>
    <w:rsid w:val="003D3306"/>
    <w:rsid w:val="003D3773"/>
    <w:rsid w:val="003D3DB1"/>
    <w:rsid w:val="003D4292"/>
    <w:rsid w:val="003D46A8"/>
    <w:rsid w:val="003D4DA4"/>
    <w:rsid w:val="003D4F8B"/>
    <w:rsid w:val="003D4F8C"/>
    <w:rsid w:val="003D51DD"/>
    <w:rsid w:val="003D5F93"/>
    <w:rsid w:val="003D7660"/>
    <w:rsid w:val="003D7BBD"/>
    <w:rsid w:val="003E0199"/>
    <w:rsid w:val="003E08FA"/>
    <w:rsid w:val="003E0FE8"/>
    <w:rsid w:val="003E250E"/>
    <w:rsid w:val="003E2F6C"/>
    <w:rsid w:val="003E306A"/>
    <w:rsid w:val="003E3142"/>
    <w:rsid w:val="003E4E16"/>
    <w:rsid w:val="003E6A00"/>
    <w:rsid w:val="003E7019"/>
    <w:rsid w:val="003E70DA"/>
    <w:rsid w:val="003E711B"/>
    <w:rsid w:val="003E7205"/>
    <w:rsid w:val="003F037C"/>
    <w:rsid w:val="003F09BA"/>
    <w:rsid w:val="003F134B"/>
    <w:rsid w:val="003F19E1"/>
    <w:rsid w:val="003F1D3F"/>
    <w:rsid w:val="003F1FF4"/>
    <w:rsid w:val="003F2F7D"/>
    <w:rsid w:val="003F3127"/>
    <w:rsid w:val="003F32AD"/>
    <w:rsid w:val="003F3645"/>
    <w:rsid w:val="003F41AE"/>
    <w:rsid w:val="003F48A6"/>
    <w:rsid w:val="003F4D77"/>
    <w:rsid w:val="003F5549"/>
    <w:rsid w:val="003F57C2"/>
    <w:rsid w:val="003F6150"/>
    <w:rsid w:val="003F6184"/>
    <w:rsid w:val="003F676C"/>
    <w:rsid w:val="003F6A34"/>
    <w:rsid w:val="003F708F"/>
    <w:rsid w:val="004006A3"/>
    <w:rsid w:val="00400706"/>
    <w:rsid w:val="00400C4D"/>
    <w:rsid w:val="00400EC0"/>
    <w:rsid w:val="004024BB"/>
    <w:rsid w:val="00402834"/>
    <w:rsid w:val="004029CF"/>
    <w:rsid w:val="004037A6"/>
    <w:rsid w:val="00403D6F"/>
    <w:rsid w:val="00404D78"/>
    <w:rsid w:val="0040555F"/>
    <w:rsid w:val="00405D36"/>
    <w:rsid w:val="00406AC2"/>
    <w:rsid w:val="0040723E"/>
    <w:rsid w:val="0040756C"/>
    <w:rsid w:val="00407E1F"/>
    <w:rsid w:val="004111DA"/>
    <w:rsid w:val="004114B3"/>
    <w:rsid w:val="004121CE"/>
    <w:rsid w:val="00412255"/>
    <w:rsid w:val="00412819"/>
    <w:rsid w:val="00412B95"/>
    <w:rsid w:val="00413490"/>
    <w:rsid w:val="00413567"/>
    <w:rsid w:val="00414369"/>
    <w:rsid w:val="00414BEE"/>
    <w:rsid w:val="00414CBF"/>
    <w:rsid w:val="004150D9"/>
    <w:rsid w:val="00415448"/>
    <w:rsid w:val="00415E5C"/>
    <w:rsid w:val="0041618C"/>
    <w:rsid w:val="0041743D"/>
    <w:rsid w:val="00417835"/>
    <w:rsid w:val="00417CC5"/>
    <w:rsid w:val="00420517"/>
    <w:rsid w:val="00420E66"/>
    <w:rsid w:val="00421054"/>
    <w:rsid w:val="00422E77"/>
    <w:rsid w:val="00423374"/>
    <w:rsid w:val="0042361F"/>
    <w:rsid w:val="004242B9"/>
    <w:rsid w:val="00424462"/>
    <w:rsid w:val="00424823"/>
    <w:rsid w:val="00426A1D"/>
    <w:rsid w:val="0042700A"/>
    <w:rsid w:val="0043037B"/>
    <w:rsid w:val="00430929"/>
    <w:rsid w:val="004309D0"/>
    <w:rsid w:val="004312B7"/>
    <w:rsid w:val="0043187D"/>
    <w:rsid w:val="00431B74"/>
    <w:rsid w:val="00431C4A"/>
    <w:rsid w:val="00436D85"/>
    <w:rsid w:val="00437538"/>
    <w:rsid w:val="00437A98"/>
    <w:rsid w:val="0044060E"/>
    <w:rsid w:val="004414EE"/>
    <w:rsid w:val="00441647"/>
    <w:rsid w:val="0044358A"/>
    <w:rsid w:val="00444797"/>
    <w:rsid w:val="00444B14"/>
    <w:rsid w:val="00444F07"/>
    <w:rsid w:val="00445240"/>
    <w:rsid w:val="00445C1C"/>
    <w:rsid w:val="00445CAE"/>
    <w:rsid w:val="00445D66"/>
    <w:rsid w:val="0044659A"/>
    <w:rsid w:val="00446B30"/>
    <w:rsid w:val="00447592"/>
    <w:rsid w:val="00447728"/>
    <w:rsid w:val="00447D8B"/>
    <w:rsid w:val="004523A0"/>
    <w:rsid w:val="004555A2"/>
    <w:rsid w:val="00455CA3"/>
    <w:rsid w:val="00456D6B"/>
    <w:rsid w:val="0045789B"/>
    <w:rsid w:val="00457A72"/>
    <w:rsid w:val="004606D2"/>
    <w:rsid w:val="004628D1"/>
    <w:rsid w:val="0046414F"/>
    <w:rsid w:val="00464A8F"/>
    <w:rsid w:val="00464D52"/>
    <w:rsid w:val="00466DE3"/>
    <w:rsid w:val="00466EE6"/>
    <w:rsid w:val="00466EE9"/>
    <w:rsid w:val="004672CA"/>
    <w:rsid w:val="00467A57"/>
    <w:rsid w:val="00467F38"/>
    <w:rsid w:val="004709F5"/>
    <w:rsid w:val="00472E99"/>
    <w:rsid w:val="00472F52"/>
    <w:rsid w:val="004734EF"/>
    <w:rsid w:val="00474F20"/>
    <w:rsid w:val="00475006"/>
    <w:rsid w:val="00475B42"/>
    <w:rsid w:val="004769FA"/>
    <w:rsid w:val="00476A1C"/>
    <w:rsid w:val="00476D3C"/>
    <w:rsid w:val="004772BE"/>
    <w:rsid w:val="004841B1"/>
    <w:rsid w:val="004846BB"/>
    <w:rsid w:val="0048483D"/>
    <w:rsid w:val="00485128"/>
    <w:rsid w:val="004853C3"/>
    <w:rsid w:val="004857E8"/>
    <w:rsid w:val="00486C95"/>
    <w:rsid w:val="004906DC"/>
    <w:rsid w:val="00490B52"/>
    <w:rsid w:val="004917A4"/>
    <w:rsid w:val="00491C1C"/>
    <w:rsid w:val="00492D74"/>
    <w:rsid w:val="00492E4A"/>
    <w:rsid w:val="004940F0"/>
    <w:rsid w:val="00494C34"/>
    <w:rsid w:val="00495D4F"/>
    <w:rsid w:val="00496002"/>
    <w:rsid w:val="004979CF"/>
    <w:rsid w:val="004A0773"/>
    <w:rsid w:val="004A1C96"/>
    <w:rsid w:val="004A2AFE"/>
    <w:rsid w:val="004A3108"/>
    <w:rsid w:val="004A3504"/>
    <w:rsid w:val="004A4075"/>
    <w:rsid w:val="004A4BCC"/>
    <w:rsid w:val="004A4C51"/>
    <w:rsid w:val="004A4C8B"/>
    <w:rsid w:val="004A6511"/>
    <w:rsid w:val="004A690A"/>
    <w:rsid w:val="004A6BAD"/>
    <w:rsid w:val="004A75FA"/>
    <w:rsid w:val="004B1A7B"/>
    <w:rsid w:val="004B206C"/>
    <w:rsid w:val="004B26C0"/>
    <w:rsid w:val="004B301A"/>
    <w:rsid w:val="004B3FA8"/>
    <w:rsid w:val="004B52FD"/>
    <w:rsid w:val="004B549D"/>
    <w:rsid w:val="004B61B5"/>
    <w:rsid w:val="004B6312"/>
    <w:rsid w:val="004B6527"/>
    <w:rsid w:val="004C020C"/>
    <w:rsid w:val="004C0D27"/>
    <w:rsid w:val="004C32CF"/>
    <w:rsid w:val="004C4102"/>
    <w:rsid w:val="004C757E"/>
    <w:rsid w:val="004C78A8"/>
    <w:rsid w:val="004C7AD3"/>
    <w:rsid w:val="004D17D1"/>
    <w:rsid w:val="004D25F2"/>
    <w:rsid w:val="004D49CF"/>
    <w:rsid w:val="004D4B29"/>
    <w:rsid w:val="004D4E70"/>
    <w:rsid w:val="004D4F66"/>
    <w:rsid w:val="004D58F1"/>
    <w:rsid w:val="004D60F2"/>
    <w:rsid w:val="004D6780"/>
    <w:rsid w:val="004E009F"/>
    <w:rsid w:val="004E0323"/>
    <w:rsid w:val="004E09CF"/>
    <w:rsid w:val="004E2580"/>
    <w:rsid w:val="004E2BF6"/>
    <w:rsid w:val="004E309A"/>
    <w:rsid w:val="004E39C4"/>
    <w:rsid w:val="004E3CBA"/>
    <w:rsid w:val="004E42CD"/>
    <w:rsid w:val="004E4AF4"/>
    <w:rsid w:val="004E506D"/>
    <w:rsid w:val="004E53FF"/>
    <w:rsid w:val="004E6060"/>
    <w:rsid w:val="004E796D"/>
    <w:rsid w:val="004F0B3E"/>
    <w:rsid w:val="004F11E4"/>
    <w:rsid w:val="004F14FC"/>
    <w:rsid w:val="004F3749"/>
    <w:rsid w:val="004F501B"/>
    <w:rsid w:val="004F5CF8"/>
    <w:rsid w:val="004F612C"/>
    <w:rsid w:val="004F634B"/>
    <w:rsid w:val="004F644F"/>
    <w:rsid w:val="004F6D98"/>
    <w:rsid w:val="004F7C7F"/>
    <w:rsid w:val="004F7F02"/>
    <w:rsid w:val="00500C1E"/>
    <w:rsid w:val="00503DF9"/>
    <w:rsid w:val="00505B85"/>
    <w:rsid w:val="005062B0"/>
    <w:rsid w:val="0050673A"/>
    <w:rsid w:val="00507865"/>
    <w:rsid w:val="005113F7"/>
    <w:rsid w:val="00511839"/>
    <w:rsid w:val="00511BBF"/>
    <w:rsid w:val="00512D2D"/>
    <w:rsid w:val="005132D1"/>
    <w:rsid w:val="00513FE8"/>
    <w:rsid w:val="00515927"/>
    <w:rsid w:val="00515A68"/>
    <w:rsid w:val="00515CFD"/>
    <w:rsid w:val="00517C43"/>
    <w:rsid w:val="00521928"/>
    <w:rsid w:val="00521B3A"/>
    <w:rsid w:val="00521D38"/>
    <w:rsid w:val="00522594"/>
    <w:rsid w:val="00523BC9"/>
    <w:rsid w:val="00523D47"/>
    <w:rsid w:val="00523DE9"/>
    <w:rsid w:val="005244DF"/>
    <w:rsid w:val="0052626E"/>
    <w:rsid w:val="005270E4"/>
    <w:rsid w:val="00527151"/>
    <w:rsid w:val="00527499"/>
    <w:rsid w:val="0052796A"/>
    <w:rsid w:val="00530834"/>
    <w:rsid w:val="005308CB"/>
    <w:rsid w:val="00531322"/>
    <w:rsid w:val="00533F03"/>
    <w:rsid w:val="0053417D"/>
    <w:rsid w:val="0053498D"/>
    <w:rsid w:val="005349F5"/>
    <w:rsid w:val="00534D17"/>
    <w:rsid w:val="00535478"/>
    <w:rsid w:val="005361C7"/>
    <w:rsid w:val="005410F7"/>
    <w:rsid w:val="00541643"/>
    <w:rsid w:val="00542697"/>
    <w:rsid w:val="00543528"/>
    <w:rsid w:val="0054412D"/>
    <w:rsid w:val="0054469A"/>
    <w:rsid w:val="005449BF"/>
    <w:rsid w:val="00547024"/>
    <w:rsid w:val="00547A2D"/>
    <w:rsid w:val="00547BA2"/>
    <w:rsid w:val="00550A8F"/>
    <w:rsid w:val="00551B3B"/>
    <w:rsid w:val="00551D5E"/>
    <w:rsid w:val="005529D8"/>
    <w:rsid w:val="005539EF"/>
    <w:rsid w:val="005549DC"/>
    <w:rsid w:val="0055537D"/>
    <w:rsid w:val="00556085"/>
    <w:rsid w:val="005576C6"/>
    <w:rsid w:val="005603C0"/>
    <w:rsid w:val="00560AAF"/>
    <w:rsid w:val="00560F72"/>
    <w:rsid w:val="005622C0"/>
    <w:rsid w:val="00562E7B"/>
    <w:rsid w:val="00564EE8"/>
    <w:rsid w:val="00564F64"/>
    <w:rsid w:val="00565E1B"/>
    <w:rsid w:val="00567965"/>
    <w:rsid w:val="00570429"/>
    <w:rsid w:val="0057342F"/>
    <w:rsid w:val="005746E6"/>
    <w:rsid w:val="00575212"/>
    <w:rsid w:val="0057656D"/>
    <w:rsid w:val="00577526"/>
    <w:rsid w:val="005776AB"/>
    <w:rsid w:val="00580061"/>
    <w:rsid w:val="00580520"/>
    <w:rsid w:val="0058058C"/>
    <w:rsid w:val="00581D7B"/>
    <w:rsid w:val="005828BA"/>
    <w:rsid w:val="00584479"/>
    <w:rsid w:val="005846C7"/>
    <w:rsid w:val="00584A13"/>
    <w:rsid w:val="00584D33"/>
    <w:rsid w:val="005853BF"/>
    <w:rsid w:val="005853D5"/>
    <w:rsid w:val="005854C0"/>
    <w:rsid w:val="0058636B"/>
    <w:rsid w:val="005868DB"/>
    <w:rsid w:val="00591810"/>
    <w:rsid w:val="0059279D"/>
    <w:rsid w:val="00592BE5"/>
    <w:rsid w:val="00592CB5"/>
    <w:rsid w:val="00593BA8"/>
    <w:rsid w:val="00594841"/>
    <w:rsid w:val="005949DA"/>
    <w:rsid w:val="005958AD"/>
    <w:rsid w:val="00595C02"/>
    <w:rsid w:val="00596332"/>
    <w:rsid w:val="0059745A"/>
    <w:rsid w:val="0059755C"/>
    <w:rsid w:val="00597B8E"/>
    <w:rsid w:val="005A1323"/>
    <w:rsid w:val="005A1490"/>
    <w:rsid w:val="005A1ED3"/>
    <w:rsid w:val="005A24FD"/>
    <w:rsid w:val="005A305D"/>
    <w:rsid w:val="005A394C"/>
    <w:rsid w:val="005A4E04"/>
    <w:rsid w:val="005A54BD"/>
    <w:rsid w:val="005A6074"/>
    <w:rsid w:val="005A6367"/>
    <w:rsid w:val="005A6EC9"/>
    <w:rsid w:val="005A78F2"/>
    <w:rsid w:val="005A79FE"/>
    <w:rsid w:val="005B13EA"/>
    <w:rsid w:val="005B23EF"/>
    <w:rsid w:val="005B27E5"/>
    <w:rsid w:val="005B35B5"/>
    <w:rsid w:val="005B472B"/>
    <w:rsid w:val="005B495E"/>
    <w:rsid w:val="005B531A"/>
    <w:rsid w:val="005B59A5"/>
    <w:rsid w:val="005B6344"/>
    <w:rsid w:val="005B6870"/>
    <w:rsid w:val="005B7394"/>
    <w:rsid w:val="005B74EF"/>
    <w:rsid w:val="005B77C7"/>
    <w:rsid w:val="005C0BB4"/>
    <w:rsid w:val="005C0ED2"/>
    <w:rsid w:val="005C0FB1"/>
    <w:rsid w:val="005C1278"/>
    <w:rsid w:val="005C27DA"/>
    <w:rsid w:val="005C28A0"/>
    <w:rsid w:val="005C45C6"/>
    <w:rsid w:val="005C4A6D"/>
    <w:rsid w:val="005C4EB4"/>
    <w:rsid w:val="005C5118"/>
    <w:rsid w:val="005C5158"/>
    <w:rsid w:val="005C52B1"/>
    <w:rsid w:val="005C5800"/>
    <w:rsid w:val="005C5A67"/>
    <w:rsid w:val="005C7594"/>
    <w:rsid w:val="005C78C1"/>
    <w:rsid w:val="005D018F"/>
    <w:rsid w:val="005D054D"/>
    <w:rsid w:val="005D081D"/>
    <w:rsid w:val="005D11C1"/>
    <w:rsid w:val="005D1BDF"/>
    <w:rsid w:val="005D1F64"/>
    <w:rsid w:val="005D257C"/>
    <w:rsid w:val="005D3722"/>
    <w:rsid w:val="005D38B6"/>
    <w:rsid w:val="005D3AA0"/>
    <w:rsid w:val="005D40FD"/>
    <w:rsid w:val="005D421B"/>
    <w:rsid w:val="005D4412"/>
    <w:rsid w:val="005D56E8"/>
    <w:rsid w:val="005D65F2"/>
    <w:rsid w:val="005D6670"/>
    <w:rsid w:val="005D6BA6"/>
    <w:rsid w:val="005D7A32"/>
    <w:rsid w:val="005E0917"/>
    <w:rsid w:val="005E1333"/>
    <w:rsid w:val="005E1DAF"/>
    <w:rsid w:val="005E2557"/>
    <w:rsid w:val="005E2863"/>
    <w:rsid w:val="005E2D08"/>
    <w:rsid w:val="005E3331"/>
    <w:rsid w:val="005E3696"/>
    <w:rsid w:val="005E429C"/>
    <w:rsid w:val="005E4E1A"/>
    <w:rsid w:val="005E5B39"/>
    <w:rsid w:val="005E6897"/>
    <w:rsid w:val="005F17B1"/>
    <w:rsid w:val="005F1806"/>
    <w:rsid w:val="005F19FD"/>
    <w:rsid w:val="005F205D"/>
    <w:rsid w:val="005F2146"/>
    <w:rsid w:val="005F26CC"/>
    <w:rsid w:val="005F481A"/>
    <w:rsid w:val="005F5D5D"/>
    <w:rsid w:val="005F662B"/>
    <w:rsid w:val="0060001C"/>
    <w:rsid w:val="006003D1"/>
    <w:rsid w:val="006022BC"/>
    <w:rsid w:val="006029B8"/>
    <w:rsid w:val="00602A53"/>
    <w:rsid w:val="00603778"/>
    <w:rsid w:val="006048AA"/>
    <w:rsid w:val="00605857"/>
    <w:rsid w:val="006062CF"/>
    <w:rsid w:val="0060637E"/>
    <w:rsid w:val="00606E1D"/>
    <w:rsid w:val="006072A5"/>
    <w:rsid w:val="006107C2"/>
    <w:rsid w:val="0061223F"/>
    <w:rsid w:val="00612887"/>
    <w:rsid w:val="006139F6"/>
    <w:rsid w:val="006140C6"/>
    <w:rsid w:val="00614B0E"/>
    <w:rsid w:val="00615BA3"/>
    <w:rsid w:val="00615DA3"/>
    <w:rsid w:val="00617AC2"/>
    <w:rsid w:val="00617F80"/>
    <w:rsid w:val="00621693"/>
    <w:rsid w:val="0062362C"/>
    <w:rsid w:val="0062417E"/>
    <w:rsid w:val="00624BE4"/>
    <w:rsid w:val="006254EB"/>
    <w:rsid w:val="00625657"/>
    <w:rsid w:val="00625706"/>
    <w:rsid w:val="00626164"/>
    <w:rsid w:val="00626F81"/>
    <w:rsid w:val="0063109B"/>
    <w:rsid w:val="006331DA"/>
    <w:rsid w:val="00633278"/>
    <w:rsid w:val="00633A60"/>
    <w:rsid w:val="00633F0B"/>
    <w:rsid w:val="00634249"/>
    <w:rsid w:val="00635320"/>
    <w:rsid w:val="00635B80"/>
    <w:rsid w:val="00635F57"/>
    <w:rsid w:val="00636381"/>
    <w:rsid w:val="006371DB"/>
    <w:rsid w:val="00640842"/>
    <w:rsid w:val="0064179A"/>
    <w:rsid w:val="00641E86"/>
    <w:rsid w:val="00642241"/>
    <w:rsid w:val="00642C8C"/>
    <w:rsid w:val="0064474D"/>
    <w:rsid w:val="00644C6B"/>
    <w:rsid w:val="00644F8A"/>
    <w:rsid w:val="00644FC1"/>
    <w:rsid w:val="00645BB3"/>
    <w:rsid w:val="00646AC7"/>
    <w:rsid w:val="00646D24"/>
    <w:rsid w:val="00650086"/>
    <w:rsid w:val="00653219"/>
    <w:rsid w:val="006534B0"/>
    <w:rsid w:val="006542DE"/>
    <w:rsid w:val="00654A3B"/>
    <w:rsid w:val="00654BB1"/>
    <w:rsid w:val="00654F1B"/>
    <w:rsid w:val="006563FC"/>
    <w:rsid w:val="00656C7F"/>
    <w:rsid w:val="00657972"/>
    <w:rsid w:val="006602AA"/>
    <w:rsid w:val="0066198D"/>
    <w:rsid w:val="006628F0"/>
    <w:rsid w:val="00663981"/>
    <w:rsid w:val="00663DCE"/>
    <w:rsid w:val="006641D5"/>
    <w:rsid w:val="0066452D"/>
    <w:rsid w:val="00664AD5"/>
    <w:rsid w:val="00664F5E"/>
    <w:rsid w:val="006650CE"/>
    <w:rsid w:val="00666F55"/>
    <w:rsid w:val="0066763C"/>
    <w:rsid w:val="006678C1"/>
    <w:rsid w:val="006701D9"/>
    <w:rsid w:val="00670F72"/>
    <w:rsid w:val="006723D6"/>
    <w:rsid w:val="00672D66"/>
    <w:rsid w:val="00673FFD"/>
    <w:rsid w:val="00674413"/>
    <w:rsid w:val="00674719"/>
    <w:rsid w:val="00674904"/>
    <w:rsid w:val="006750DB"/>
    <w:rsid w:val="00675604"/>
    <w:rsid w:val="0067613C"/>
    <w:rsid w:val="00676CF6"/>
    <w:rsid w:val="00677924"/>
    <w:rsid w:val="006779DE"/>
    <w:rsid w:val="00677D26"/>
    <w:rsid w:val="006800A9"/>
    <w:rsid w:val="00681019"/>
    <w:rsid w:val="00681CCC"/>
    <w:rsid w:val="0068240C"/>
    <w:rsid w:val="006829E7"/>
    <w:rsid w:val="00683E60"/>
    <w:rsid w:val="00684C02"/>
    <w:rsid w:val="00684D71"/>
    <w:rsid w:val="006851D5"/>
    <w:rsid w:val="006855EE"/>
    <w:rsid w:val="0068565C"/>
    <w:rsid w:val="006861F4"/>
    <w:rsid w:val="00686EC3"/>
    <w:rsid w:val="00687975"/>
    <w:rsid w:val="00691C8F"/>
    <w:rsid w:val="006932D4"/>
    <w:rsid w:val="00695058"/>
    <w:rsid w:val="006955CC"/>
    <w:rsid w:val="00696D0D"/>
    <w:rsid w:val="00696EB2"/>
    <w:rsid w:val="0069712F"/>
    <w:rsid w:val="006A0077"/>
    <w:rsid w:val="006A1733"/>
    <w:rsid w:val="006A179B"/>
    <w:rsid w:val="006A29F6"/>
    <w:rsid w:val="006A2F21"/>
    <w:rsid w:val="006A335C"/>
    <w:rsid w:val="006A503B"/>
    <w:rsid w:val="006A67A3"/>
    <w:rsid w:val="006A7601"/>
    <w:rsid w:val="006B02A0"/>
    <w:rsid w:val="006B069C"/>
    <w:rsid w:val="006B16D1"/>
    <w:rsid w:val="006B2013"/>
    <w:rsid w:val="006B2714"/>
    <w:rsid w:val="006B353A"/>
    <w:rsid w:val="006B3A00"/>
    <w:rsid w:val="006B3FB9"/>
    <w:rsid w:val="006B598F"/>
    <w:rsid w:val="006B61F9"/>
    <w:rsid w:val="006C01F3"/>
    <w:rsid w:val="006C02B8"/>
    <w:rsid w:val="006C171A"/>
    <w:rsid w:val="006C1FF0"/>
    <w:rsid w:val="006C32E8"/>
    <w:rsid w:val="006C386C"/>
    <w:rsid w:val="006C3A45"/>
    <w:rsid w:val="006C3C6D"/>
    <w:rsid w:val="006C44BC"/>
    <w:rsid w:val="006C5F4C"/>
    <w:rsid w:val="006C6CAC"/>
    <w:rsid w:val="006C76A8"/>
    <w:rsid w:val="006D1409"/>
    <w:rsid w:val="006D297C"/>
    <w:rsid w:val="006D32F2"/>
    <w:rsid w:val="006D3342"/>
    <w:rsid w:val="006D3938"/>
    <w:rsid w:val="006D4180"/>
    <w:rsid w:val="006D5E76"/>
    <w:rsid w:val="006E07C4"/>
    <w:rsid w:val="006E15D2"/>
    <w:rsid w:val="006E19D7"/>
    <w:rsid w:val="006E2A58"/>
    <w:rsid w:val="006E6842"/>
    <w:rsid w:val="006E771C"/>
    <w:rsid w:val="006F02A5"/>
    <w:rsid w:val="006F0570"/>
    <w:rsid w:val="006F0F22"/>
    <w:rsid w:val="006F0F54"/>
    <w:rsid w:val="006F2446"/>
    <w:rsid w:val="006F2865"/>
    <w:rsid w:val="006F39FE"/>
    <w:rsid w:val="006F409A"/>
    <w:rsid w:val="006F4716"/>
    <w:rsid w:val="006F5C58"/>
    <w:rsid w:val="006F6F19"/>
    <w:rsid w:val="006F725D"/>
    <w:rsid w:val="006F7D9D"/>
    <w:rsid w:val="006F7E6E"/>
    <w:rsid w:val="00700E9C"/>
    <w:rsid w:val="00700FA0"/>
    <w:rsid w:val="00700FC9"/>
    <w:rsid w:val="00701468"/>
    <w:rsid w:val="00701784"/>
    <w:rsid w:val="007023D4"/>
    <w:rsid w:val="00703A33"/>
    <w:rsid w:val="00704F29"/>
    <w:rsid w:val="007053A6"/>
    <w:rsid w:val="007107CA"/>
    <w:rsid w:val="0071098D"/>
    <w:rsid w:val="00711968"/>
    <w:rsid w:val="0071200C"/>
    <w:rsid w:val="0071394D"/>
    <w:rsid w:val="007147CE"/>
    <w:rsid w:val="00715857"/>
    <w:rsid w:val="00716438"/>
    <w:rsid w:val="007204AA"/>
    <w:rsid w:val="00721997"/>
    <w:rsid w:val="00721BD4"/>
    <w:rsid w:val="00722CE6"/>
    <w:rsid w:val="00722F18"/>
    <w:rsid w:val="007232B9"/>
    <w:rsid w:val="007241EC"/>
    <w:rsid w:val="0072435A"/>
    <w:rsid w:val="007243AD"/>
    <w:rsid w:val="0072463C"/>
    <w:rsid w:val="0072467B"/>
    <w:rsid w:val="007255FC"/>
    <w:rsid w:val="00725653"/>
    <w:rsid w:val="007263A9"/>
    <w:rsid w:val="0072710A"/>
    <w:rsid w:val="00727823"/>
    <w:rsid w:val="0072784E"/>
    <w:rsid w:val="007305D2"/>
    <w:rsid w:val="007312EA"/>
    <w:rsid w:val="007321E8"/>
    <w:rsid w:val="007324E7"/>
    <w:rsid w:val="00733008"/>
    <w:rsid w:val="00735EC6"/>
    <w:rsid w:val="007368EF"/>
    <w:rsid w:val="007369ED"/>
    <w:rsid w:val="00740D7E"/>
    <w:rsid w:val="00742497"/>
    <w:rsid w:val="00742E0B"/>
    <w:rsid w:val="00742F2F"/>
    <w:rsid w:val="0074312D"/>
    <w:rsid w:val="0074342D"/>
    <w:rsid w:val="00743DA3"/>
    <w:rsid w:val="007442BE"/>
    <w:rsid w:val="00744814"/>
    <w:rsid w:val="0074518D"/>
    <w:rsid w:val="00745328"/>
    <w:rsid w:val="00745FFE"/>
    <w:rsid w:val="007461BC"/>
    <w:rsid w:val="0075127D"/>
    <w:rsid w:val="00752016"/>
    <w:rsid w:val="0075329E"/>
    <w:rsid w:val="00753E71"/>
    <w:rsid w:val="007548C8"/>
    <w:rsid w:val="00755620"/>
    <w:rsid w:val="00755812"/>
    <w:rsid w:val="00756796"/>
    <w:rsid w:val="00756DF9"/>
    <w:rsid w:val="007573EB"/>
    <w:rsid w:val="007600D1"/>
    <w:rsid w:val="007609A6"/>
    <w:rsid w:val="00760F28"/>
    <w:rsid w:val="007614AA"/>
    <w:rsid w:val="00761695"/>
    <w:rsid w:val="00761F7B"/>
    <w:rsid w:val="007626AE"/>
    <w:rsid w:val="00762E13"/>
    <w:rsid w:val="007643D7"/>
    <w:rsid w:val="00765900"/>
    <w:rsid w:val="00765973"/>
    <w:rsid w:val="00765B4B"/>
    <w:rsid w:val="0076636E"/>
    <w:rsid w:val="0076689B"/>
    <w:rsid w:val="0076705C"/>
    <w:rsid w:val="00767393"/>
    <w:rsid w:val="00771105"/>
    <w:rsid w:val="00771393"/>
    <w:rsid w:val="00772958"/>
    <w:rsid w:val="00773713"/>
    <w:rsid w:val="00773D59"/>
    <w:rsid w:val="00774E47"/>
    <w:rsid w:val="007763DA"/>
    <w:rsid w:val="00776545"/>
    <w:rsid w:val="0078018C"/>
    <w:rsid w:val="00781353"/>
    <w:rsid w:val="00782CC6"/>
    <w:rsid w:val="00782E04"/>
    <w:rsid w:val="0078366A"/>
    <w:rsid w:val="00783F77"/>
    <w:rsid w:val="00785500"/>
    <w:rsid w:val="00787D5C"/>
    <w:rsid w:val="00790971"/>
    <w:rsid w:val="007909E4"/>
    <w:rsid w:val="00790A1D"/>
    <w:rsid w:val="00790B76"/>
    <w:rsid w:val="0079186A"/>
    <w:rsid w:val="007918A8"/>
    <w:rsid w:val="00791B76"/>
    <w:rsid w:val="00791E10"/>
    <w:rsid w:val="007929FC"/>
    <w:rsid w:val="00794724"/>
    <w:rsid w:val="007947C9"/>
    <w:rsid w:val="00794B78"/>
    <w:rsid w:val="0079502F"/>
    <w:rsid w:val="0079560D"/>
    <w:rsid w:val="00795B43"/>
    <w:rsid w:val="007961A0"/>
    <w:rsid w:val="00796A0D"/>
    <w:rsid w:val="007974D5"/>
    <w:rsid w:val="007976EB"/>
    <w:rsid w:val="007A02E5"/>
    <w:rsid w:val="007A063F"/>
    <w:rsid w:val="007A09BE"/>
    <w:rsid w:val="007A0E0E"/>
    <w:rsid w:val="007A3099"/>
    <w:rsid w:val="007A556F"/>
    <w:rsid w:val="007A592B"/>
    <w:rsid w:val="007A6F2D"/>
    <w:rsid w:val="007B10D7"/>
    <w:rsid w:val="007B154D"/>
    <w:rsid w:val="007B1974"/>
    <w:rsid w:val="007B2666"/>
    <w:rsid w:val="007B3138"/>
    <w:rsid w:val="007B34EE"/>
    <w:rsid w:val="007B3786"/>
    <w:rsid w:val="007B3797"/>
    <w:rsid w:val="007B3888"/>
    <w:rsid w:val="007B4109"/>
    <w:rsid w:val="007B4292"/>
    <w:rsid w:val="007B4BC7"/>
    <w:rsid w:val="007B711D"/>
    <w:rsid w:val="007C02AF"/>
    <w:rsid w:val="007C0AB4"/>
    <w:rsid w:val="007C0B25"/>
    <w:rsid w:val="007C4692"/>
    <w:rsid w:val="007C4B00"/>
    <w:rsid w:val="007C4E95"/>
    <w:rsid w:val="007C4FDE"/>
    <w:rsid w:val="007C6C5A"/>
    <w:rsid w:val="007D0273"/>
    <w:rsid w:val="007D1143"/>
    <w:rsid w:val="007D12D2"/>
    <w:rsid w:val="007D2FAA"/>
    <w:rsid w:val="007D3B71"/>
    <w:rsid w:val="007D3F2B"/>
    <w:rsid w:val="007D45B3"/>
    <w:rsid w:val="007D47AF"/>
    <w:rsid w:val="007D4D6D"/>
    <w:rsid w:val="007D63E6"/>
    <w:rsid w:val="007D6ACF"/>
    <w:rsid w:val="007D6BD5"/>
    <w:rsid w:val="007E079E"/>
    <w:rsid w:val="007E0E23"/>
    <w:rsid w:val="007E1532"/>
    <w:rsid w:val="007E26FB"/>
    <w:rsid w:val="007E2933"/>
    <w:rsid w:val="007E2E3E"/>
    <w:rsid w:val="007E3599"/>
    <w:rsid w:val="007E564C"/>
    <w:rsid w:val="007E5E26"/>
    <w:rsid w:val="007E6167"/>
    <w:rsid w:val="007E6588"/>
    <w:rsid w:val="007E7B49"/>
    <w:rsid w:val="007E7B76"/>
    <w:rsid w:val="007E7E4C"/>
    <w:rsid w:val="007F0610"/>
    <w:rsid w:val="007F0B90"/>
    <w:rsid w:val="007F1177"/>
    <w:rsid w:val="007F2CEF"/>
    <w:rsid w:val="007F4563"/>
    <w:rsid w:val="007F46F1"/>
    <w:rsid w:val="007F5EB9"/>
    <w:rsid w:val="007F687C"/>
    <w:rsid w:val="00801F6E"/>
    <w:rsid w:val="008025A5"/>
    <w:rsid w:val="00802641"/>
    <w:rsid w:val="00802B8A"/>
    <w:rsid w:val="0080435D"/>
    <w:rsid w:val="00804F90"/>
    <w:rsid w:val="008054EE"/>
    <w:rsid w:val="00805A54"/>
    <w:rsid w:val="008065D6"/>
    <w:rsid w:val="00806877"/>
    <w:rsid w:val="00807EA9"/>
    <w:rsid w:val="00812DF4"/>
    <w:rsid w:val="00812F9F"/>
    <w:rsid w:val="008147AA"/>
    <w:rsid w:val="00815657"/>
    <w:rsid w:val="00815D8D"/>
    <w:rsid w:val="00816483"/>
    <w:rsid w:val="00817CCB"/>
    <w:rsid w:val="0082076D"/>
    <w:rsid w:val="008207D0"/>
    <w:rsid w:val="00820F18"/>
    <w:rsid w:val="008220D7"/>
    <w:rsid w:val="00825170"/>
    <w:rsid w:val="00825994"/>
    <w:rsid w:val="008262F1"/>
    <w:rsid w:val="0082703B"/>
    <w:rsid w:val="00831B2D"/>
    <w:rsid w:val="00832BE6"/>
    <w:rsid w:val="008333D3"/>
    <w:rsid w:val="00833B89"/>
    <w:rsid w:val="00833FB7"/>
    <w:rsid w:val="00834336"/>
    <w:rsid w:val="00835895"/>
    <w:rsid w:val="00835CC2"/>
    <w:rsid w:val="00836A49"/>
    <w:rsid w:val="008374E2"/>
    <w:rsid w:val="00840193"/>
    <w:rsid w:val="00840EBA"/>
    <w:rsid w:val="00841D80"/>
    <w:rsid w:val="008422EA"/>
    <w:rsid w:val="008428CF"/>
    <w:rsid w:val="00843F7D"/>
    <w:rsid w:val="00845055"/>
    <w:rsid w:val="00845654"/>
    <w:rsid w:val="00845F4A"/>
    <w:rsid w:val="00846DC4"/>
    <w:rsid w:val="008471D7"/>
    <w:rsid w:val="00847BE8"/>
    <w:rsid w:val="0085021E"/>
    <w:rsid w:val="00850D96"/>
    <w:rsid w:val="0085149D"/>
    <w:rsid w:val="0085230D"/>
    <w:rsid w:val="008527E8"/>
    <w:rsid w:val="0085329A"/>
    <w:rsid w:val="00855C8D"/>
    <w:rsid w:val="00855FAF"/>
    <w:rsid w:val="008573B8"/>
    <w:rsid w:val="00857FB4"/>
    <w:rsid w:val="0086041D"/>
    <w:rsid w:val="0086093E"/>
    <w:rsid w:val="008614C2"/>
    <w:rsid w:val="00861796"/>
    <w:rsid w:val="00861D8E"/>
    <w:rsid w:val="0086315E"/>
    <w:rsid w:val="00863BEA"/>
    <w:rsid w:val="00863D48"/>
    <w:rsid w:val="0086458B"/>
    <w:rsid w:val="00864727"/>
    <w:rsid w:val="0086474A"/>
    <w:rsid w:val="00864C62"/>
    <w:rsid w:val="00864E04"/>
    <w:rsid w:val="00865A11"/>
    <w:rsid w:val="00865B57"/>
    <w:rsid w:val="008662F4"/>
    <w:rsid w:val="0086699F"/>
    <w:rsid w:val="00866A18"/>
    <w:rsid w:val="00867CE9"/>
    <w:rsid w:val="00867F58"/>
    <w:rsid w:val="008713CF"/>
    <w:rsid w:val="00871A12"/>
    <w:rsid w:val="008728A6"/>
    <w:rsid w:val="00873513"/>
    <w:rsid w:val="00873B75"/>
    <w:rsid w:val="008742AC"/>
    <w:rsid w:val="00874637"/>
    <w:rsid w:val="0087491D"/>
    <w:rsid w:val="00874ECC"/>
    <w:rsid w:val="0087555E"/>
    <w:rsid w:val="00875D94"/>
    <w:rsid w:val="00876CFC"/>
    <w:rsid w:val="00876EE2"/>
    <w:rsid w:val="008804C8"/>
    <w:rsid w:val="008804EA"/>
    <w:rsid w:val="00881767"/>
    <w:rsid w:val="0088275E"/>
    <w:rsid w:val="00882E5B"/>
    <w:rsid w:val="00882FF5"/>
    <w:rsid w:val="0088494B"/>
    <w:rsid w:val="00884E32"/>
    <w:rsid w:val="0088506B"/>
    <w:rsid w:val="00885552"/>
    <w:rsid w:val="008856E7"/>
    <w:rsid w:val="00886609"/>
    <w:rsid w:val="00886A98"/>
    <w:rsid w:val="0088748B"/>
    <w:rsid w:val="00887ED3"/>
    <w:rsid w:val="00891367"/>
    <w:rsid w:val="00891438"/>
    <w:rsid w:val="00892682"/>
    <w:rsid w:val="00892DF2"/>
    <w:rsid w:val="0089659C"/>
    <w:rsid w:val="008A0F2A"/>
    <w:rsid w:val="008A10A1"/>
    <w:rsid w:val="008A10AF"/>
    <w:rsid w:val="008A11B6"/>
    <w:rsid w:val="008A2BF0"/>
    <w:rsid w:val="008A2D05"/>
    <w:rsid w:val="008A32E7"/>
    <w:rsid w:val="008A339E"/>
    <w:rsid w:val="008A4942"/>
    <w:rsid w:val="008A5A3D"/>
    <w:rsid w:val="008A5C75"/>
    <w:rsid w:val="008A6940"/>
    <w:rsid w:val="008A77D4"/>
    <w:rsid w:val="008A781B"/>
    <w:rsid w:val="008B0497"/>
    <w:rsid w:val="008B05A0"/>
    <w:rsid w:val="008B08E7"/>
    <w:rsid w:val="008B0AC9"/>
    <w:rsid w:val="008B151E"/>
    <w:rsid w:val="008B1C33"/>
    <w:rsid w:val="008B1E51"/>
    <w:rsid w:val="008B1FEB"/>
    <w:rsid w:val="008B2410"/>
    <w:rsid w:val="008B2C0D"/>
    <w:rsid w:val="008B40AD"/>
    <w:rsid w:val="008B42B5"/>
    <w:rsid w:val="008B7B3E"/>
    <w:rsid w:val="008B7E86"/>
    <w:rsid w:val="008C0D24"/>
    <w:rsid w:val="008C3823"/>
    <w:rsid w:val="008C3B2C"/>
    <w:rsid w:val="008C4AA5"/>
    <w:rsid w:val="008C4D8D"/>
    <w:rsid w:val="008C5127"/>
    <w:rsid w:val="008C625D"/>
    <w:rsid w:val="008C7157"/>
    <w:rsid w:val="008C77C7"/>
    <w:rsid w:val="008C784F"/>
    <w:rsid w:val="008D0537"/>
    <w:rsid w:val="008D2C35"/>
    <w:rsid w:val="008D3514"/>
    <w:rsid w:val="008D434D"/>
    <w:rsid w:val="008D4A9D"/>
    <w:rsid w:val="008D4C5D"/>
    <w:rsid w:val="008D52D4"/>
    <w:rsid w:val="008D5804"/>
    <w:rsid w:val="008D5877"/>
    <w:rsid w:val="008D63BE"/>
    <w:rsid w:val="008D6BE8"/>
    <w:rsid w:val="008D7026"/>
    <w:rsid w:val="008D766A"/>
    <w:rsid w:val="008E1BF9"/>
    <w:rsid w:val="008E2CF6"/>
    <w:rsid w:val="008E2D42"/>
    <w:rsid w:val="008E2F21"/>
    <w:rsid w:val="008E3191"/>
    <w:rsid w:val="008E37A8"/>
    <w:rsid w:val="008E4A6C"/>
    <w:rsid w:val="008E4C64"/>
    <w:rsid w:val="008E5DA6"/>
    <w:rsid w:val="008E6461"/>
    <w:rsid w:val="008E73C0"/>
    <w:rsid w:val="008F00A7"/>
    <w:rsid w:val="008F01E3"/>
    <w:rsid w:val="008F0483"/>
    <w:rsid w:val="008F0A2A"/>
    <w:rsid w:val="008F0CD9"/>
    <w:rsid w:val="008F25D5"/>
    <w:rsid w:val="008F46B9"/>
    <w:rsid w:val="008F589A"/>
    <w:rsid w:val="008F58A2"/>
    <w:rsid w:val="008F59AE"/>
    <w:rsid w:val="008F6018"/>
    <w:rsid w:val="008F635D"/>
    <w:rsid w:val="008F64D0"/>
    <w:rsid w:val="008F7DBB"/>
    <w:rsid w:val="009006B4"/>
    <w:rsid w:val="00900FFA"/>
    <w:rsid w:val="00901C2E"/>
    <w:rsid w:val="009028F0"/>
    <w:rsid w:val="009033DE"/>
    <w:rsid w:val="00903682"/>
    <w:rsid w:val="00904523"/>
    <w:rsid w:val="00904760"/>
    <w:rsid w:val="00904AF8"/>
    <w:rsid w:val="009058EA"/>
    <w:rsid w:val="0090742D"/>
    <w:rsid w:val="009075F2"/>
    <w:rsid w:val="0090764C"/>
    <w:rsid w:val="009078D3"/>
    <w:rsid w:val="009112B4"/>
    <w:rsid w:val="00912D93"/>
    <w:rsid w:val="00912F94"/>
    <w:rsid w:val="009148FE"/>
    <w:rsid w:val="00914CDF"/>
    <w:rsid w:val="00915495"/>
    <w:rsid w:val="00916C69"/>
    <w:rsid w:val="00916D6E"/>
    <w:rsid w:val="00916EA7"/>
    <w:rsid w:val="00917E79"/>
    <w:rsid w:val="009219B0"/>
    <w:rsid w:val="0092249E"/>
    <w:rsid w:val="00923B4A"/>
    <w:rsid w:val="00924711"/>
    <w:rsid w:val="00924A9C"/>
    <w:rsid w:val="00924D12"/>
    <w:rsid w:val="009257C9"/>
    <w:rsid w:val="00925A51"/>
    <w:rsid w:val="009272BA"/>
    <w:rsid w:val="009274BD"/>
    <w:rsid w:val="0093098E"/>
    <w:rsid w:val="009314A3"/>
    <w:rsid w:val="0093160A"/>
    <w:rsid w:val="00931D9A"/>
    <w:rsid w:val="00932328"/>
    <w:rsid w:val="00932696"/>
    <w:rsid w:val="009332C3"/>
    <w:rsid w:val="0093413E"/>
    <w:rsid w:val="00934C07"/>
    <w:rsid w:val="0093524E"/>
    <w:rsid w:val="00935403"/>
    <w:rsid w:val="009362BB"/>
    <w:rsid w:val="00936721"/>
    <w:rsid w:val="00936B83"/>
    <w:rsid w:val="00936FDC"/>
    <w:rsid w:val="00937194"/>
    <w:rsid w:val="00937803"/>
    <w:rsid w:val="00940204"/>
    <w:rsid w:val="009414B2"/>
    <w:rsid w:val="009419AF"/>
    <w:rsid w:val="00942B73"/>
    <w:rsid w:val="00942BF7"/>
    <w:rsid w:val="009439AC"/>
    <w:rsid w:val="009444F3"/>
    <w:rsid w:val="00945EBC"/>
    <w:rsid w:val="00946B22"/>
    <w:rsid w:val="0094719D"/>
    <w:rsid w:val="00947EFE"/>
    <w:rsid w:val="0095031E"/>
    <w:rsid w:val="00950BC8"/>
    <w:rsid w:val="00950D92"/>
    <w:rsid w:val="00951520"/>
    <w:rsid w:val="00951A58"/>
    <w:rsid w:val="009525BE"/>
    <w:rsid w:val="00952FBA"/>
    <w:rsid w:val="00953426"/>
    <w:rsid w:val="009537A8"/>
    <w:rsid w:val="0095391C"/>
    <w:rsid w:val="009547A2"/>
    <w:rsid w:val="009557F9"/>
    <w:rsid w:val="00956A83"/>
    <w:rsid w:val="00956C64"/>
    <w:rsid w:val="0095746C"/>
    <w:rsid w:val="00957AFC"/>
    <w:rsid w:val="00957F23"/>
    <w:rsid w:val="00960689"/>
    <w:rsid w:val="00961606"/>
    <w:rsid w:val="00962086"/>
    <w:rsid w:val="00963CDD"/>
    <w:rsid w:val="009643B8"/>
    <w:rsid w:val="009653AC"/>
    <w:rsid w:val="009656F2"/>
    <w:rsid w:val="009661D5"/>
    <w:rsid w:val="00966A3B"/>
    <w:rsid w:val="00967FB7"/>
    <w:rsid w:val="00972685"/>
    <w:rsid w:val="00972BFF"/>
    <w:rsid w:val="00972D3C"/>
    <w:rsid w:val="0097311A"/>
    <w:rsid w:val="009732AA"/>
    <w:rsid w:val="00973BEB"/>
    <w:rsid w:val="00974040"/>
    <w:rsid w:val="00974680"/>
    <w:rsid w:val="009753F1"/>
    <w:rsid w:val="0097626E"/>
    <w:rsid w:val="00977590"/>
    <w:rsid w:val="00980BDB"/>
    <w:rsid w:val="00981EE8"/>
    <w:rsid w:val="00983A4B"/>
    <w:rsid w:val="00984380"/>
    <w:rsid w:val="009846A0"/>
    <w:rsid w:val="00984B40"/>
    <w:rsid w:val="00985181"/>
    <w:rsid w:val="009854B7"/>
    <w:rsid w:val="009854C3"/>
    <w:rsid w:val="00985730"/>
    <w:rsid w:val="00985754"/>
    <w:rsid w:val="00985AD6"/>
    <w:rsid w:val="00986067"/>
    <w:rsid w:val="009860C9"/>
    <w:rsid w:val="009865D1"/>
    <w:rsid w:val="00986F9E"/>
    <w:rsid w:val="00987AFD"/>
    <w:rsid w:val="0099058C"/>
    <w:rsid w:val="00994A3C"/>
    <w:rsid w:val="00994E82"/>
    <w:rsid w:val="00994FDD"/>
    <w:rsid w:val="0099508E"/>
    <w:rsid w:val="0099636C"/>
    <w:rsid w:val="0099674A"/>
    <w:rsid w:val="00997971"/>
    <w:rsid w:val="00997D29"/>
    <w:rsid w:val="009A01B0"/>
    <w:rsid w:val="009A240F"/>
    <w:rsid w:val="009A28DE"/>
    <w:rsid w:val="009A4E0F"/>
    <w:rsid w:val="009A4E99"/>
    <w:rsid w:val="009A5F14"/>
    <w:rsid w:val="009A6748"/>
    <w:rsid w:val="009A7508"/>
    <w:rsid w:val="009A78C7"/>
    <w:rsid w:val="009A78F2"/>
    <w:rsid w:val="009A7D4A"/>
    <w:rsid w:val="009B0236"/>
    <w:rsid w:val="009B05A2"/>
    <w:rsid w:val="009B0777"/>
    <w:rsid w:val="009B141D"/>
    <w:rsid w:val="009B2EA2"/>
    <w:rsid w:val="009B506E"/>
    <w:rsid w:val="009B55D4"/>
    <w:rsid w:val="009B56AF"/>
    <w:rsid w:val="009B5E81"/>
    <w:rsid w:val="009B627C"/>
    <w:rsid w:val="009B692A"/>
    <w:rsid w:val="009B6B61"/>
    <w:rsid w:val="009B7AED"/>
    <w:rsid w:val="009B7CA9"/>
    <w:rsid w:val="009C1DC2"/>
    <w:rsid w:val="009C2690"/>
    <w:rsid w:val="009C2D6F"/>
    <w:rsid w:val="009C3E4B"/>
    <w:rsid w:val="009C40BC"/>
    <w:rsid w:val="009C5D74"/>
    <w:rsid w:val="009C5EC8"/>
    <w:rsid w:val="009C6967"/>
    <w:rsid w:val="009C6E85"/>
    <w:rsid w:val="009C71D7"/>
    <w:rsid w:val="009D0E63"/>
    <w:rsid w:val="009D1056"/>
    <w:rsid w:val="009D14E6"/>
    <w:rsid w:val="009D2305"/>
    <w:rsid w:val="009D2C31"/>
    <w:rsid w:val="009D2CD9"/>
    <w:rsid w:val="009D3136"/>
    <w:rsid w:val="009D3A3B"/>
    <w:rsid w:val="009D41D6"/>
    <w:rsid w:val="009D4816"/>
    <w:rsid w:val="009D5FC5"/>
    <w:rsid w:val="009D640F"/>
    <w:rsid w:val="009D6F57"/>
    <w:rsid w:val="009D7076"/>
    <w:rsid w:val="009E0212"/>
    <w:rsid w:val="009E06FF"/>
    <w:rsid w:val="009E07E2"/>
    <w:rsid w:val="009E10AB"/>
    <w:rsid w:val="009E1198"/>
    <w:rsid w:val="009E3BBF"/>
    <w:rsid w:val="009E7823"/>
    <w:rsid w:val="009F0522"/>
    <w:rsid w:val="009F2026"/>
    <w:rsid w:val="009F2880"/>
    <w:rsid w:val="009F2F2E"/>
    <w:rsid w:val="009F420C"/>
    <w:rsid w:val="009F6D0C"/>
    <w:rsid w:val="009F7349"/>
    <w:rsid w:val="009F7F73"/>
    <w:rsid w:val="00A00534"/>
    <w:rsid w:val="00A0148B"/>
    <w:rsid w:val="00A0280A"/>
    <w:rsid w:val="00A02E35"/>
    <w:rsid w:val="00A03703"/>
    <w:rsid w:val="00A10099"/>
    <w:rsid w:val="00A102D5"/>
    <w:rsid w:val="00A10AB1"/>
    <w:rsid w:val="00A14090"/>
    <w:rsid w:val="00A148D2"/>
    <w:rsid w:val="00A170D3"/>
    <w:rsid w:val="00A17844"/>
    <w:rsid w:val="00A213FD"/>
    <w:rsid w:val="00A22BD5"/>
    <w:rsid w:val="00A22F47"/>
    <w:rsid w:val="00A23115"/>
    <w:rsid w:val="00A23144"/>
    <w:rsid w:val="00A23FB1"/>
    <w:rsid w:val="00A24D88"/>
    <w:rsid w:val="00A24F12"/>
    <w:rsid w:val="00A25281"/>
    <w:rsid w:val="00A25757"/>
    <w:rsid w:val="00A2594C"/>
    <w:rsid w:val="00A25BA6"/>
    <w:rsid w:val="00A266BE"/>
    <w:rsid w:val="00A274FF"/>
    <w:rsid w:val="00A312C7"/>
    <w:rsid w:val="00A319BC"/>
    <w:rsid w:val="00A32D15"/>
    <w:rsid w:val="00A33CA8"/>
    <w:rsid w:val="00A3430F"/>
    <w:rsid w:val="00A344A4"/>
    <w:rsid w:val="00A35817"/>
    <w:rsid w:val="00A3611C"/>
    <w:rsid w:val="00A3615C"/>
    <w:rsid w:val="00A363D6"/>
    <w:rsid w:val="00A36481"/>
    <w:rsid w:val="00A36633"/>
    <w:rsid w:val="00A37442"/>
    <w:rsid w:val="00A3777B"/>
    <w:rsid w:val="00A40E9A"/>
    <w:rsid w:val="00A41BAE"/>
    <w:rsid w:val="00A41CA0"/>
    <w:rsid w:val="00A42744"/>
    <w:rsid w:val="00A436BD"/>
    <w:rsid w:val="00A4477E"/>
    <w:rsid w:val="00A450BD"/>
    <w:rsid w:val="00A4748C"/>
    <w:rsid w:val="00A51571"/>
    <w:rsid w:val="00A5422C"/>
    <w:rsid w:val="00A54B12"/>
    <w:rsid w:val="00A56A56"/>
    <w:rsid w:val="00A579A2"/>
    <w:rsid w:val="00A579C3"/>
    <w:rsid w:val="00A603F4"/>
    <w:rsid w:val="00A60464"/>
    <w:rsid w:val="00A61EEA"/>
    <w:rsid w:val="00A620FE"/>
    <w:rsid w:val="00A621C3"/>
    <w:rsid w:val="00A62A90"/>
    <w:rsid w:val="00A637DA"/>
    <w:rsid w:val="00A642D2"/>
    <w:rsid w:val="00A6453C"/>
    <w:rsid w:val="00A64CB8"/>
    <w:rsid w:val="00A6780F"/>
    <w:rsid w:val="00A678A3"/>
    <w:rsid w:val="00A679C8"/>
    <w:rsid w:val="00A67CC5"/>
    <w:rsid w:val="00A706A5"/>
    <w:rsid w:val="00A7498F"/>
    <w:rsid w:val="00A755EC"/>
    <w:rsid w:val="00A756C6"/>
    <w:rsid w:val="00A75F0A"/>
    <w:rsid w:val="00A77B5D"/>
    <w:rsid w:val="00A77B74"/>
    <w:rsid w:val="00A81050"/>
    <w:rsid w:val="00A83B36"/>
    <w:rsid w:val="00A83E58"/>
    <w:rsid w:val="00A866E4"/>
    <w:rsid w:val="00A8704D"/>
    <w:rsid w:val="00A87161"/>
    <w:rsid w:val="00A875A7"/>
    <w:rsid w:val="00A87D53"/>
    <w:rsid w:val="00A902B0"/>
    <w:rsid w:val="00A90C72"/>
    <w:rsid w:val="00A922B4"/>
    <w:rsid w:val="00A92C08"/>
    <w:rsid w:val="00A92C21"/>
    <w:rsid w:val="00A93629"/>
    <w:rsid w:val="00A9389C"/>
    <w:rsid w:val="00A942F1"/>
    <w:rsid w:val="00A94660"/>
    <w:rsid w:val="00A94782"/>
    <w:rsid w:val="00A94CC5"/>
    <w:rsid w:val="00A94E24"/>
    <w:rsid w:val="00A9549D"/>
    <w:rsid w:val="00A961DB"/>
    <w:rsid w:val="00A965EE"/>
    <w:rsid w:val="00A96827"/>
    <w:rsid w:val="00AA05ED"/>
    <w:rsid w:val="00AA0632"/>
    <w:rsid w:val="00AA08D5"/>
    <w:rsid w:val="00AA228E"/>
    <w:rsid w:val="00AA248B"/>
    <w:rsid w:val="00AA2755"/>
    <w:rsid w:val="00AA3642"/>
    <w:rsid w:val="00AA68D8"/>
    <w:rsid w:val="00AA6D69"/>
    <w:rsid w:val="00AA7567"/>
    <w:rsid w:val="00AB04E3"/>
    <w:rsid w:val="00AB0B61"/>
    <w:rsid w:val="00AB1D67"/>
    <w:rsid w:val="00AB216D"/>
    <w:rsid w:val="00AB2D68"/>
    <w:rsid w:val="00AB40C1"/>
    <w:rsid w:val="00AB40CC"/>
    <w:rsid w:val="00AB40F0"/>
    <w:rsid w:val="00AB4A6E"/>
    <w:rsid w:val="00AB4AD5"/>
    <w:rsid w:val="00AB5766"/>
    <w:rsid w:val="00AB67ED"/>
    <w:rsid w:val="00AB6963"/>
    <w:rsid w:val="00AB7197"/>
    <w:rsid w:val="00AB78E6"/>
    <w:rsid w:val="00AC01FC"/>
    <w:rsid w:val="00AC041B"/>
    <w:rsid w:val="00AC0CFF"/>
    <w:rsid w:val="00AC16AF"/>
    <w:rsid w:val="00AC1A1A"/>
    <w:rsid w:val="00AC1B10"/>
    <w:rsid w:val="00AC28F1"/>
    <w:rsid w:val="00AC29EE"/>
    <w:rsid w:val="00AC35F5"/>
    <w:rsid w:val="00AC37D0"/>
    <w:rsid w:val="00AC39B1"/>
    <w:rsid w:val="00AC5061"/>
    <w:rsid w:val="00AC5517"/>
    <w:rsid w:val="00AC6BC2"/>
    <w:rsid w:val="00AD0018"/>
    <w:rsid w:val="00AD1076"/>
    <w:rsid w:val="00AD1E83"/>
    <w:rsid w:val="00AD2366"/>
    <w:rsid w:val="00AD250D"/>
    <w:rsid w:val="00AD2D46"/>
    <w:rsid w:val="00AD4D28"/>
    <w:rsid w:val="00AD57D9"/>
    <w:rsid w:val="00AD5A90"/>
    <w:rsid w:val="00AD6FB5"/>
    <w:rsid w:val="00AE0364"/>
    <w:rsid w:val="00AE08DA"/>
    <w:rsid w:val="00AE0986"/>
    <w:rsid w:val="00AE176C"/>
    <w:rsid w:val="00AE1B18"/>
    <w:rsid w:val="00AE1C94"/>
    <w:rsid w:val="00AE3923"/>
    <w:rsid w:val="00AE3B75"/>
    <w:rsid w:val="00AE481E"/>
    <w:rsid w:val="00AE5D71"/>
    <w:rsid w:val="00AE6537"/>
    <w:rsid w:val="00AE6E87"/>
    <w:rsid w:val="00AED53C"/>
    <w:rsid w:val="00AF005D"/>
    <w:rsid w:val="00AF0C4C"/>
    <w:rsid w:val="00AF0CA1"/>
    <w:rsid w:val="00AF1297"/>
    <w:rsid w:val="00AF41C9"/>
    <w:rsid w:val="00AF50EB"/>
    <w:rsid w:val="00AF6255"/>
    <w:rsid w:val="00AF6BB6"/>
    <w:rsid w:val="00AF7612"/>
    <w:rsid w:val="00B0091F"/>
    <w:rsid w:val="00B00BA9"/>
    <w:rsid w:val="00B00DE8"/>
    <w:rsid w:val="00B00E91"/>
    <w:rsid w:val="00B01B19"/>
    <w:rsid w:val="00B025A3"/>
    <w:rsid w:val="00B02788"/>
    <w:rsid w:val="00B02A10"/>
    <w:rsid w:val="00B030B3"/>
    <w:rsid w:val="00B045BC"/>
    <w:rsid w:val="00B053F1"/>
    <w:rsid w:val="00B067F6"/>
    <w:rsid w:val="00B073C1"/>
    <w:rsid w:val="00B100D7"/>
    <w:rsid w:val="00B10351"/>
    <w:rsid w:val="00B106AC"/>
    <w:rsid w:val="00B11809"/>
    <w:rsid w:val="00B13285"/>
    <w:rsid w:val="00B13CC2"/>
    <w:rsid w:val="00B149DC"/>
    <w:rsid w:val="00B15072"/>
    <w:rsid w:val="00B155C7"/>
    <w:rsid w:val="00B214FD"/>
    <w:rsid w:val="00B24AEA"/>
    <w:rsid w:val="00B25910"/>
    <w:rsid w:val="00B25D59"/>
    <w:rsid w:val="00B2672A"/>
    <w:rsid w:val="00B27383"/>
    <w:rsid w:val="00B2773A"/>
    <w:rsid w:val="00B27C96"/>
    <w:rsid w:val="00B27DCF"/>
    <w:rsid w:val="00B3103E"/>
    <w:rsid w:val="00B31579"/>
    <w:rsid w:val="00B33702"/>
    <w:rsid w:val="00B33B0E"/>
    <w:rsid w:val="00B33B6D"/>
    <w:rsid w:val="00B33DFD"/>
    <w:rsid w:val="00B34915"/>
    <w:rsid w:val="00B34B94"/>
    <w:rsid w:val="00B34E22"/>
    <w:rsid w:val="00B35340"/>
    <w:rsid w:val="00B353A4"/>
    <w:rsid w:val="00B354CD"/>
    <w:rsid w:val="00B3664F"/>
    <w:rsid w:val="00B37807"/>
    <w:rsid w:val="00B37975"/>
    <w:rsid w:val="00B41105"/>
    <w:rsid w:val="00B41CC2"/>
    <w:rsid w:val="00B429D1"/>
    <w:rsid w:val="00B42E6B"/>
    <w:rsid w:val="00B4388C"/>
    <w:rsid w:val="00B43F8D"/>
    <w:rsid w:val="00B447F7"/>
    <w:rsid w:val="00B44869"/>
    <w:rsid w:val="00B44D8B"/>
    <w:rsid w:val="00B47361"/>
    <w:rsid w:val="00B47496"/>
    <w:rsid w:val="00B50849"/>
    <w:rsid w:val="00B512EE"/>
    <w:rsid w:val="00B52E05"/>
    <w:rsid w:val="00B5326C"/>
    <w:rsid w:val="00B535B4"/>
    <w:rsid w:val="00B539A4"/>
    <w:rsid w:val="00B53D1E"/>
    <w:rsid w:val="00B548C0"/>
    <w:rsid w:val="00B54A9F"/>
    <w:rsid w:val="00B56007"/>
    <w:rsid w:val="00B56961"/>
    <w:rsid w:val="00B57BB6"/>
    <w:rsid w:val="00B60752"/>
    <w:rsid w:val="00B611CD"/>
    <w:rsid w:val="00B61D40"/>
    <w:rsid w:val="00B6278C"/>
    <w:rsid w:val="00B62B82"/>
    <w:rsid w:val="00B63E15"/>
    <w:rsid w:val="00B63F38"/>
    <w:rsid w:val="00B6410C"/>
    <w:rsid w:val="00B64CB1"/>
    <w:rsid w:val="00B65450"/>
    <w:rsid w:val="00B667EE"/>
    <w:rsid w:val="00B67AD5"/>
    <w:rsid w:val="00B67CC0"/>
    <w:rsid w:val="00B70CA8"/>
    <w:rsid w:val="00B7136D"/>
    <w:rsid w:val="00B716FF"/>
    <w:rsid w:val="00B71DA1"/>
    <w:rsid w:val="00B73B65"/>
    <w:rsid w:val="00B73D11"/>
    <w:rsid w:val="00B742D3"/>
    <w:rsid w:val="00B746AB"/>
    <w:rsid w:val="00B76026"/>
    <w:rsid w:val="00B77628"/>
    <w:rsid w:val="00B77D3E"/>
    <w:rsid w:val="00B803EA"/>
    <w:rsid w:val="00B80E43"/>
    <w:rsid w:val="00B82FAE"/>
    <w:rsid w:val="00B831D0"/>
    <w:rsid w:val="00B83587"/>
    <w:rsid w:val="00B8362E"/>
    <w:rsid w:val="00B83E02"/>
    <w:rsid w:val="00B85246"/>
    <w:rsid w:val="00B85438"/>
    <w:rsid w:val="00B85446"/>
    <w:rsid w:val="00B87541"/>
    <w:rsid w:val="00B90355"/>
    <w:rsid w:val="00B91D43"/>
    <w:rsid w:val="00B91F9E"/>
    <w:rsid w:val="00B9242F"/>
    <w:rsid w:val="00B92A0D"/>
    <w:rsid w:val="00B93549"/>
    <w:rsid w:val="00B93890"/>
    <w:rsid w:val="00B94996"/>
    <w:rsid w:val="00B95090"/>
    <w:rsid w:val="00B95900"/>
    <w:rsid w:val="00B96C85"/>
    <w:rsid w:val="00BA0A54"/>
    <w:rsid w:val="00BA1500"/>
    <w:rsid w:val="00BA504F"/>
    <w:rsid w:val="00BA556C"/>
    <w:rsid w:val="00BA5E31"/>
    <w:rsid w:val="00BA5FBC"/>
    <w:rsid w:val="00BA625C"/>
    <w:rsid w:val="00BA693F"/>
    <w:rsid w:val="00BA6A6C"/>
    <w:rsid w:val="00BA7DCE"/>
    <w:rsid w:val="00BB059D"/>
    <w:rsid w:val="00BB0A36"/>
    <w:rsid w:val="00BB0C85"/>
    <w:rsid w:val="00BB1160"/>
    <w:rsid w:val="00BB1398"/>
    <w:rsid w:val="00BB2691"/>
    <w:rsid w:val="00BB32F6"/>
    <w:rsid w:val="00BB3A08"/>
    <w:rsid w:val="00BB4F07"/>
    <w:rsid w:val="00BB4FB8"/>
    <w:rsid w:val="00BB6F0B"/>
    <w:rsid w:val="00BB70C8"/>
    <w:rsid w:val="00BB7413"/>
    <w:rsid w:val="00BB76F7"/>
    <w:rsid w:val="00BB7A35"/>
    <w:rsid w:val="00BB7C1D"/>
    <w:rsid w:val="00BB7DDD"/>
    <w:rsid w:val="00BC06A9"/>
    <w:rsid w:val="00BC08D3"/>
    <w:rsid w:val="00BC1D95"/>
    <w:rsid w:val="00BC1E27"/>
    <w:rsid w:val="00BC3159"/>
    <w:rsid w:val="00BC3546"/>
    <w:rsid w:val="00BC370C"/>
    <w:rsid w:val="00BC4237"/>
    <w:rsid w:val="00BC4559"/>
    <w:rsid w:val="00BC71A2"/>
    <w:rsid w:val="00BC73EC"/>
    <w:rsid w:val="00BD0A88"/>
    <w:rsid w:val="00BD0E4E"/>
    <w:rsid w:val="00BD1F5B"/>
    <w:rsid w:val="00BD274B"/>
    <w:rsid w:val="00BD3BE0"/>
    <w:rsid w:val="00BD40DA"/>
    <w:rsid w:val="00BD41C0"/>
    <w:rsid w:val="00BD4599"/>
    <w:rsid w:val="00BD4F6E"/>
    <w:rsid w:val="00BD5C4F"/>
    <w:rsid w:val="00BD5E02"/>
    <w:rsid w:val="00BD60A1"/>
    <w:rsid w:val="00BD7B3A"/>
    <w:rsid w:val="00BE1B8E"/>
    <w:rsid w:val="00BE1B9A"/>
    <w:rsid w:val="00BE2244"/>
    <w:rsid w:val="00BE2812"/>
    <w:rsid w:val="00BE3290"/>
    <w:rsid w:val="00BE526A"/>
    <w:rsid w:val="00BE5763"/>
    <w:rsid w:val="00BE5A73"/>
    <w:rsid w:val="00BE5C04"/>
    <w:rsid w:val="00BE65D0"/>
    <w:rsid w:val="00BE6DB1"/>
    <w:rsid w:val="00BE7D52"/>
    <w:rsid w:val="00BF0CF5"/>
    <w:rsid w:val="00BF10EA"/>
    <w:rsid w:val="00BF1550"/>
    <w:rsid w:val="00BF1707"/>
    <w:rsid w:val="00BF287B"/>
    <w:rsid w:val="00BF398C"/>
    <w:rsid w:val="00BF3A1F"/>
    <w:rsid w:val="00BF4093"/>
    <w:rsid w:val="00BF4F02"/>
    <w:rsid w:val="00BF5E65"/>
    <w:rsid w:val="00BF600D"/>
    <w:rsid w:val="00BF66BC"/>
    <w:rsid w:val="00BF7693"/>
    <w:rsid w:val="00BF7BD7"/>
    <w:rsid w:val="00BF7DD0"/>
    <w:rsid w:val="00BF7DE9"/>
    <w:rsid w:val="00C0144C"/>
    <w:rsid w:val="00C01895"/>
    <w:rsid w:val="00C03B9E"/>
    <w:rsid w:val="00C04480"/>
    <w:rsid w:val="00C05583"/>
    <w:rsid w:val="00C0572F"/>
    <w:rsid w:val="00C06D3B"/>
    <w:rsid w:val="00C07321"/>
    <w:rsid w:val="00C0770E"/>
    <w:rsid w:val="00C07867"/>
    <w:rsid w:val="00C07904"/>
    <w:rsid w:val="00C07A5F"/>
    <w:rsid w:val="00C07AD5"/>
    <w:rsid w:val="00C10B1B"/>
    <w:rsid w:val="00C11A4B"/>
    <w:rsid w:val="00C13655"/>
    <w:rsid w:val="00C13E72"/>
    <w:rsid w:val="00C14AA1"/>
    <w:rsid w:val="00C15D3C"/>
    <w:rsid w:val="00C15EFA"/>
    <w:rsid w:val="00C1653D"/>
    <w:rsid w:val="00C166E8"/>
    <w:rsid w:val="00C16B01"/>
    <w:rsid w:val="00C16BAF"/>
    <w:rsid w:val="00C21887"/>
    <w:rsid w:val="00C21996"/>
    <w:rsid w:val="00C21B36"/>
    <w:rsid w:val="00C223A4"/>
    <w:rsid w:val="00C22425"/>
    <w:rsid w:val="00C227C9"/>
    <w:rsid w:val="00C237EB"/>
    <w:rsid w:val="00C23E7A"/>
    <w:rsid w:val="00C25969"/>
    <w:rsid w:val="00C26152"/>
    <w:rsid w:val="00C26153"/>
    <w:rsid w:val="00C26164"/>
    <w:rsid w:val="00C263A1"/>
    <w:rsid w:val="00C26C05"/>
    <w:rsid w:val="00C27D2B"/>
    <w:rsid w:val="00C302D3"/>
    <w:rsid w:val="00C3279E"/>
    <w:rsid w:val="00C327AA"/>
    <w:rsid w:val="00C33B97"/>
    <w:rsid w:val="00C34390"/>
    <w:rsid w:val="00C3746F"/>
    <w:rsid w:val="00C40270"/>
    <w:rsid w:val="00C40E12"/>
    <w:rsid w:val="00C40F6C"/>
    <w:rsid w:val="00C41407"/>
    <w:rsid w:val="00C41D46"/>
    <w:rsid w:val="00C4200E"/>
    <w:rsid w:val="00C430FB"/>
    <w:rsid w:val="00C44591"/>
    <w:rsid w:val="00C4553A"/>
    <w:rsid w:val="00C45617"/>
    <w:rsid w:val="00C45A31"/>
    <w:rsid w:val="00C45EC3"/>
    <w:rsid w:val="00C468BE"/>
    <w:rsid w:val="00C46D97"/>
    <w:rsid w:val="00C479E1"/>
    <w:rsid w:val="00C50459"/>
    <w:rsid w:val="00C50627"/>
    <w:rsid w:val="00C50DD7"/>
    <w:rsid w:val="00C522CF"/>
    <w:rsid w:val="00C52647"/>
    <w:rsid w:val="00C52861"/>
    <w:rsid w:val="00C52B22"/>
    <w:rsid w:val="00C539E0"/>
    <w:rsid w:val="00C551BA"/>
    <w:rsid w:val="00C56164"/>
    <w:rsid w:val="00C5796B"/>
    <w:rsid w:val="00C6030D"/>
    <w:rsid w:val="00C60576"/>
    <w:rsid w:val="00C60663"/>
    <w:rsid w:val="00C61031"/>
    <w:rsid w:val="00C617FA"/>
    <w:rsid w:val="00C61CDA"/>
    <w:rsid w:val="00C62B76"/>
    <w:rsid w:val="00C62C13"/>
    <w:rsid w:val="00C637D2"/>
    <w:rsid w:val="00C64152"/>
    <w:rsid w:val="00C6449B"/>
    <w:rsid w:val="00C64FAA"/>
    <w:rsid w:val="00C6518B"/>
    <w:rsid w:val="00C65500"/>
    <w:rsid w:val="00C6598F"/>
    <w:rsid w:val="00C67262"/>
    <w:rsid w:val="00C67655"/>
    <w:rsid w:val="00C70EB4"/>
    <w:rsid w:val="00C70F17"/>
    <w:rsid w:val="00C71AA5"/>
    <w:rsid w:val="00C722C5"/>
    <w:rsid w:val="00C72333"/>
    <w:rsid w:val="00C72365"/>
    <w:rsid w:val="00C7383A"/>
    <w:rsid w:val="00C73E77"/>
    <w:rsid w:val="00C757BD"/>
    <w:rsid w:val="00C76398"/>
    <w:rsid w:val="00C765AB"/>
    <w:rsid w:val="00C7768A"/>
    <w:rsid w:val="00C77C75"/>
    <w:rsid w:val="00C80094"/>
    <w:rsid w:val="00C80658"/>
    <w:rsid w:val="00C80921"/>
    <w:rsid w:val="00C80970"/>
    <w:rsid w:val="00C81749"/>
    <w:rsid w:val="00C82388"/>
    <w:rsid w:val="00C8239C"/>
    <w:rsid w:val="00C82F25"/>
    <w:rsid w:val="00C83A6D"/>
    <w:rsid w:val="00C84429"/>
    <w:rsid w:val="00C85EDD"/>
    <w:rsid w:val="00C8642B"/>
    <w:rsid w:val="00C86B9D"/>
    <w:rsid w:val="00C8719D"/>
    <w:rsid w:val="00C8776F"/>
    <w:rsid w:val="00C91331"/>
    <w:rsid w:val="00C91874"/>
    <w:rsid w:val="00C91A23"/>
    <w:rsid w:val="00C91F12"/>
    <w:rsid w:val="00C92136"/>
    <w:rsid w:val="00C92C73"/>
    <w:rsid w:val="00C934C2"/>
    <w:rsid w:val="00C93B01"/>
    <w:rsid w:val="00C93C64"/>
    <w:rsid w:val="00C94535"/>
    <w:rsid w:val="00C94794"/>
    <w:rsid w:val="00C94E48"/>
    <w:rsid w:val="00C9636E"/>
    <w:rsid w:val="00C97327"/>
    <w:rsid w:val="00CA19D6"/>
    <w:rsid w:val="00CA26B9"/>
    <w:rsid w:val="00CA2CC9"/>
    <w:rsid w:val="00CA329F"/>
    <w:rsid w:val="00CA7A19"/>
    <w:rsid w:val="00CB1595"/>
    <w:rsid w:val="00CB1B9C"/>
    <w:rsid w:val="00CB4425"/>
    <w:rsid w:val="00CB5075"/>
    <w:rsid w:val="00CB50FD"/>
    <w:rsid w:val="00CB72A5"/>
    <w:rsid w:val="00CB7CC7"/>
    <w:rsid w:val="00CB7F43"/>
    <w:rsid w:val="00CC0097"/>
    <w:rsid w:val="00CC08B6"/>
    <w:rsid w:val="00CC12BA"/>
    <w:rsid w:val="00CC16F9"/>
    <w:rsid w:val="00CC1A47"/>
    <w:rsid w:val="00CC2824"/>
    <w:rsid w:val="00CC29A2"/>
    <w:rsid w:val="00CC2A7B"/>
    <w:rsid w:val="00CC2E32"/>
    <w:rsid w:val="00CC3079"/>
    <w:rsid w:val="00CC3410"/>
    <w:rsid w:val="00CC360C"/>
    <w:rsid w:val="00CC39D4"/>
    <w:rsid w:val="00CC4584"/>
    <w:rsid w:val="00CC465A"/>
    <w:rsid w:val="00CC4A67"/>
    <w:rsid w:val="00CC4F4A"/>
    <w:rsid w:val="00CC5837"/>
    <w:rsid w:val="00CC61D9"/>
    <w:rsid w:val="00CC713A"/>
    <w:rsid w:val="00CD0282"/>
    <w:rsid w:val="00CD0572"/>
    <w:rsid w:val="00CD0590"/>
    <w:rsid w:val="00CD0A89"/>
    <w:rsid w:val="00CD0BA5"/>
    <w:rsid w:val="00CD1041"/>
    <w:rsid w:val="00CD352E"/>
    <w:rsid w:val="00CD4196"/>
    <w:rsid w:val="00CD46E2"/>
    <w:rsid w:val="00CD4D86"/>
    <w:rsid w:val="00CD58C4"/>
    <w:rsid w:val="00CD71A9"/>
    <w:rsid w:val="00CD76D7"/>
    <w:rsid w:val="00CD7897"/>
    <w:rsid w:val="00CD7D34"/>
    <w:rsid w:val="00CE0601"/>
    <w:rsid w:val="00CE0702"/>
    <w:rsid w:val="00CE1E03"/>
    <w:rsid w:val="00CE2A30"/>
    <w:rsid w:val="00CE430E"/>
    <w:rsid w:val="00CE4E82"/>
    <w:rsid w:val="00CE68D7"/>
    <w:rsid w:val="00CF1409"/>
    <w:rsid w:val="00CF1441"/>
    <w:rsid w:val="00CF1954"/>
    <w:rsid w:val="00CF2149"/>
    <w:rsid w:val="00CF53DF"/>
    <w:rsid w:val="00CF76AD"/>
    <w:rsid w:val="00D0050E"/>
    <w:rsid w:val="00D01798"/>
    <w:rsid w:val="00D02921"/>
    <w:rsid w:val="00D0311A"/>
    <w:rsid w:val="00D03C65"/>
    <w:rsid w:val="00D03FAC"/>
    <w:rsid w:val="00D050C7"/>
    <w:rsid w:val="00D05439"/>
    <w:rsid w:val="00D062C5"/>
    <w:rsid w:val="00D0747D"/>
    <w:rsid w:val="00D107E5"/>
    <w:rsid w:val="00D10C0F"/>
    <w:rsid w:val="00D10FDC"/>
    <w:rsid w:val="00D11727"/>
    <w:rsid w:val="00D127AF"/>
    <w:rsid w:val="00D135CB"/>
    <w:rsid w:val="00D1382D"/>
    <w:rsid w:val="00D153DA"/>
    <w:rsid w:val="00D15DA9"/>
    <w:rsid w:val="00D1613A"/>
    <w:rsid w:val="00D165D5"/>
    <w:rsid w:val="00D16D12"/>
    <w:rsid w:val="00D17CE7"/>
    <w:rsid w:val="00D20394"/>
    <w:rsid w:val="00D20A34"/>
    <w:rsid w:val="00D22E8B"/>
    <w:rsid w:val="00D23226"/>
    <w:rsid w:val="00D23569"/>
    <w:rsid w:val="00D24CE2"/>
    <w:rsid w:val="00D24ED7"/>
    <w:rsid w:val="00D253F0"/>
    <w:rsid w:val="00D25A54"/>
    <w:rsid w:val="00D3062F"/>
    <w:rsid w:val="00D30D47"/>
    <w:rsid w:val="00D31130"/>
    <w:rsid w:val="00D34F6F"/>
    <w:rsid w:val="00D35CEE"/>
    <w:rsid w:val="00D35E76"/>
    <w:rsid w:val="00D36812"/>
    <w:rsid w:val="00D37FA1"/>
    <w:rsid w:val="00D40DF2"/>
    <w:rsid w:val="00D41587"/>
    <w:rsid w:val="00D41A28"/>
    <w:rsid w:val="00D42D62"/>
    <w:rsid w:val="00D43931"/>
    <w:rsid w:val="00D439A6"/>
    <w:rsid w:val="00D43B29"/>
    <w:rsid w:val="00D443D5"/>
    <w:rsid w:val="00D44B3F"/>
    <w:rsid w:val="00D45045"/>
    <w:rsid w:val="00D4642F"/>
    <w:rsid w:val="00D464CE"/>
    <w:rsid w:val="00D464DA"/>
    <w:rsid w:val="00D47138"/>
    <w:rsid w:val="00D50065"/>
    <w:rsid w:val="00D51607"/>
    <w:rsid w:val="00D52DC4"/>
    <w:rsid w:val="00D531AA"/>
    <w:rsid w:val="00D534B2"/>
    <w:rsid w:val="00D53861"/>
    <w:rsid w:val="00D5390E"/>
    <w:rsid w:val="00D54605"/>
    <w:rsid w:val="00D54975"/>
    <w:rsid w:val="00D557C2"/>
    <w:rsid w:val="00D55A03"/>
    <w:rsid w:val="00D55FBF"/>
    <w:rsid w:val="00D5602F"/>
    <w:rsid w:val="00D56785"/>
    <w:rsid w:val="00D5700F"/>
    <w:rsid w:val="00D57CAD"/>
    <w:rsid w:val="00D60288"/>
    <w:rsid w:val="00D611B6"/>
    <w:rsid w:val="00D62145"/>
    <w:rsid w:val="00D63406"/>
    <w:rsid w:val="00D636B5"/>
    <w:rsid w:val="00D65C08"/>
    <w:rsid w:val="00D66A64"/>
    <w:rsid w:val="00D67063"/>
    <w:rsid w:val="00D70023"/>
    <w:rsid w:val="00D70FA0"/>
    <w:rsid w:val="00D719A3"/>
    <w:rsid w:val="00D71C77"/>
    <w:rsid w:val="00D722EE"/>
    <w:rsid w:val="00D72FAF"/>
    <w:rsid w:val="00D737A7"/>
    <w:rsid w:val="00D747DF"/>
    <w:rsid w:val="00D75EC1"/>
    <w:rsid w:val="00D761F6"/>
    <w:rsid w:val="00D7644F"/>
    <w:rsid w:val="00D76893"/>
    <w:rsid w:val="00D76BAF"/>
    <w:rsid w:val="00D77F2E"/>
    <w:rsid w:val="00D80568"/>
    <w:rsid w:val="00D8067D"/>
    <w:rsid w:val="00D81A56"/>
    <w:rsid w:val="00D81AED"/>
    <w:rsid w:val="00D82A4D"/>
    <w:rsid w:val="00D837F2"/>
    <w:rsid w:val="00D841F6"/>
    <w:rsid w:val="00D849DA"/>
    <w:rsid w:val="00D86131"/>
    <w:rsid w:val="00D86420"/>
    <w:rsid w:val="00D869DF"/>
    <w:rsid w:val="00D87A46"/>
    <w:rsid w:val="00D90D9F"/>
    <w:rsid w:val="00D90F51"/>
    <w:rsid w:val="00D917C9"/>
    <w:rsid w:val="00D91897"/>
    <w:rsid w:val="00D936A7"/>
    <w:rsid w:val="00D93DE6"/>
    <w:rsid w:val="00D94B2A"/>
    <w:rsid w:val="00D95D0A"/>
    <w:rsid w:val="00D964FC"/>
    <w:rsid w:val="00D969E5"/>
    <w:rsid w:val="00D96C61"/>
    <w:rsid w:val="00DA3165"/>
    <w:rsid w:val="00DA424A"/>
    <w:rsid w:val="00DA4FF9"/>
    <w:rsid w:val="00DA52BE"/>
    <w:rsid w:val="00DA5691"/>
    <w:rsid w:val="00DA5C85"/>
    <w:rsid w:val="00DA6064"/>
    <w:rsid w:val="00DA68A5"/>
    <w:rsid w:val="00DA68B5"/>
    <w:rsid w:val="00DA71A7"/>
    <w:rsid w:val="00DA78CA"/>
    <w:rsid w:val="00DA7928"/>
    <w:rsid w:val="00DA7DDC"/>
    <w:rsid w:val="00DA7F15"/>
    <w:rsid w:val="00DB0051"/>
    <w:rsid w:val="00DB18C8"/>
    <w:rsid w:val="00DB1C07"/>
    <w:rsid w:val="00DB383D"/>
    <w:rsid w:val="00DB698E"/>
    <w:rsid w:val="00DB7E15"/>
    <w:rsid w:val="00DC1B10"/>
    <w:rsid w:val="00DC219A"/>
    <w:rsid w:val="00DC29BB"/>
    <w:rsid w:val="00DC2AFC"/>
    <w:rsid w:val="00DC3698"/>
    <w:rsid w:val="00DC39C9"/>
    <w:rsid w:val="00DC41A3"/>
    <w:rsid w:val="00DC6C8E"/>
    <w:rsid w:val="00DC70B0"/>
    <w:rsid w:val="00DD1C28"/>
    <w:rsid w:val="00DD2C2F"/>
    <w:rsid w:val="00DD3076"/>
    <w:rsid w:val="00DD3764"/>
    <w:rsid w:val="00DD3E11"/>
    <w:rsid w:val="00DD41F3"/>
    <w:rsid w:val="00DD4814"/>
    <w:rsid w:val="00DD4FDA"/>
    <w:rsid w:val="00DD5D14"/>
    <w:rsid w:val="00DD630D"/>
    <w:rsid w:val="00DD6D4D"/>
    <w:rsid w:val="00DD704E"/>
    <w:rsid w:val="00DD72DE"/>
    <w:rsid w:val="00DD7519"/>
    <w:rsid w:val="00DE2067"/>
    <w:rsid w:val="00DE2999"/>
    <w:rsid w:val="00DE4942"/>
    <w:rsid w:val="00DE5169"/>
    <w:rsid w:val="00DE5890"/>
    <w:rsid w:val="00DE6126"/>
    <w:rsid w:val="00DE7F15"/>
    <w:rsid w:val="00DF0338"/>
    <w:rsid w:val="00DF0E71"/>
    <w:rsid w:val="00DF1C13"/>
    <w:rsid w:val="00DF2263"/>
    <w:rsid w:val="00DF24DF"/>
    <w:rsid w:val="00DF475B"/>
    <w:rsid w:val="00DF503F"/>
    <w:rsid w:val="00DF57C2"/>
    <w:rsid w:val="00DF64EA"/>
    <w:rsid w:val="00DF6562"/>
    <w:rsid w:val="00E0082B"/>
    <w:rsid w:val="00E0195E"/>
    <w:rsid w:val="00E03C2E"/>
    <w:rsid w:val="00E03C74"/>
    <w:rsid w:val="00E04CC4"/>
    <w:rsid w:val="00E04F56"/>
    <w:rsid w:val="00E05ED6"/>
    <w:rsid w:val="00E07C96"/>
    <w:rsid w:val="00E10217"/>
    <w:rsid w:val="00E104DA"/>
    <w:rsid w:val="00E1080B"/>
    <w:rsid w:val="00E10F3F"/>
    <w:rsid w:val="00E12F14"/>
    <w:rsid w:val="00E140A6"/>
    <w:rsid w:val="00E149CD"/>
    <w:rsid w:val="00E15C74"/>
    <w:rsid w:val="00E1720D"/>
    <w:rsid w:val="00E177C1"/>
    <w:rsid w:val="00E201BD"/>
    <w:rsid w:val="00E21B79"/>
    <w:rsid w:val="00E22546"/>
    <w:rsid w:val="00E227A6"/>
    <w:rsid w:val="00E2335E"/>
    <w:rsid w:val="00E23AAD"/>
    <w:rsid w:val="00E24292"/>
    <w:rsid w:val="00E24478"/>
    <w:rsid w:val="00E24ABA"/>
    <w:rsid w:val="00E25198"/>
    <w:rsid w:val="00E25CED"/>
    <w:rsid w:val="00E25DAF"/>
    <w:rsid w:val="00E264DD"/>
    <w:rsid w:val="00E26980"/>
    <w:rsid w:val="00E26DF4"/>
    <w:rsid w:val="00E305E0"/>
    <w:rsid w:val="00E314BA"/>
    <w:rsid w:val="00E32074"/>
    <w:rsid w:val="00E3262B"/>
    <w:rsid w:val="00E328BD"/>
    <w:rsid w:val="00E32CB0"/>
    <w:rsid w:val="00E336BE"/>
    <w:rsid w:val="00E3378C"/>
    <w:rsid w:val="00E34A79"/>
    <w:rsid w:val="00E34FB2"/>
    <w:rsid w:val="00E35A0A"/>
    <w:rsid w:val="00E4024E"/>
    <w:rsid w:val="00E4083F"/>
    <w:rsid w:val="00E40AEF"/>
    <w:rsid w:val="00E4123D"/>
    <w:rsid w:val="00E413CF"/>
    <w:rsid w:val="00E41491"/>
    <w:rsid w:val="00E41EC9"/>
    <w:rsid w:val="00E4208A"/>
    <w:rsid w:val="00E42BC5"/>
    <w:rsid w:val="00E4339D"/>
    <w:rsid w:val="00E434EE"/>
    <w:rsid w:val="00E44EE0"/>
    <w:rsid w:val="00E4607A"/>
    <w:rsid w:val="00E46264"/>
    <w:rsid w:val="00E47A58"/>
    <w:rsid w:val="00E502C9"/>
    <w:rsid w:val="00E50669"/>
    <w:rsid w:val="00E51790"/>
    <w:rsid w:val="00E5288F"/>
    <w:rsid w:val="00E536F2"/>
    <w:rsid w:val="00E53C07"/>
    <w:rsid w:val="00E53F69"/>
    <w:rsid w:val="00E53FE8"/>
    <w:rsid w:val="00E55464"/>
    <w:rsid w:val="00E556A6"/>
    <w:rsid w:val="00E558B2"/>
    <w:rsid w:val="00E565C7"/>
    <w:rsid w:val="00E566FE"/>
    <w:rsid w:val="00E5682B"/>
    <w:rsid w:val="00E577AB"/>
    <w:rsid w:val="00E57CD6"/>
    <w:rsid w:val="00E57E73"/>
    <w:rsid w:val="00E57FB1"/>
    <w:rsid w:val="00E600F7"/>
    <w:rsid w:val="00E609FA"/>
    <w:rsid w:val="00E616FD"/>
    <w:rsid w:val="00E619E9"/>
    <w:rsid w:val="00E61BEB"/>
    <w:rsid w:val="00E6238A"/>
    <w:rsid w:val="00E63CDC"/>
    <w:rsid w:val="00E63D91"/>
    <w:rsid w:val="00E64364"/>
    <w:rsid w:val="00E645CC"/>
    <w:rsid w:val="00E64B83"/>
    <w:rsid w:val="00E6521D"/>
    <w:rsid w:val="00E65289"/>
    <w:rsid w:val="00E6589A"/>
    <w:rsid w:val="00E65999"/>
    <w:rsid w:val="00E66024"/>
    <w:rsid w:val="00E67F01"/>
    <w:rsid w:val="00E7092D"/>
    <w:rsid w:val="00E71C57"/>
    <w:rsid w:val="00E73407"/>
    <w:rsid w:val="00E734D7"/>
    <w:rsid w:val="00E74732"/>
    <w:rsid w:val="00E747E2"/>
    <w:rsid w:val="00E74A13"/>
    <w:rsid w:val="00E75A96"/>
    <w:rsid w:val="00E75B58"/>
    <w:rsid w:val="00E760BC"/>
    <w:rsid w:val="00E77D50"/>
    <w:rsid w:val="00E81229"/>
    <w:rsid w:val="00E81277"/>
    <w:rsid w:val="00E814D8"/>
    <w:rsid w:val="00E816B9"/>
    <w:rsid w:val="00E81D89"/>
    <w:rsid w:val="00E81DE9"/>
    <w:rsid w:val="00E82447"/>
    <w:rsid w:val="00E8297A"/>
    <w:rsid w:val="00E82CAD"/>
    <w:rsid w:val="00E83294"/>
    <w:rsid w:val="00E8466D"/>
    <w:rsid w:val="00E84958"/>
    <w:rsid w:val="00E84D09"/>
    <w:rsid w:val="00E85383"/>
    <w:rsid w:val="00E853A6"/>
    <w:rsid w:val="00E858B9"/>
    <w:rsid w:val="00E85B41"/>
    <w:rsid w:val="00E8614A"/>
    <w:rsid w:val="00E86B6A"/>
    <w:rsid w:val="00E86D48"/>
    <w:rsid w:val="00E9137E"/>
    <w:rsid w:val="00E92BC7"/>
    <w:rsid w:val="00E92C3B"/>
    <w:rsid w:val="00E936B6"/>
    <w:rsid w:val="00E9375E"/>
    <w:rsid w:val="00E945E1"/>
    <w:rsid w:val="00E94862"/>
    <w:rsid w:val="00E94A0C"/>
    <w:rsid w:val="00E9536D"/>
    <w:rsid w:val="00E95406"/>
    <w:rsid w:val="00E95A6A"/>
    <w:rsid w:val="00E95FE3"/>
    <w:rsid w:val="00E9620A"/>
    <w:rsid w:val="00E966F0"/>
    <w:rsid w:val="00EA0EDA"/>
    <w:rsid w:val="00EA2066"/>
    <w:rsid w:val="00EA2822"/>
    <w:rsid w:val="00EA2AE7"/>
    <w:rsid w:val="00EA313E"/>
    <w:rsid w:val="00EA31C7"/>
    <w:rsid w:val="00EA3B2A"/>
    <w:rsid w:val="00EA3DB5"/>
    <w:rsid w:val="00EA4DD5"/>
    <w:rsid w:val="00EA5F7C"/>
    <w:rsid w:val="00EA60AC"/>
    <w:rsid w:val="00EA61D0"/>
    <w:rsid w:val="00EA6A55"/>
    <w:rsid w:val="00EA721B"/>
    <w:rsid w:val="00EB0811"/>
    <w:rsid w:val="00EB08F6"/>
    <w:rsid w:val="00EB1D12"/>
    <w:rsid w:val="00EB2851"/>
    <w:rsid w:val="00EB288C"/>
    <w:rsid w:val="00EB2D85"/>
    <w:rsid w:val="00EB2E54"/>
    <w:rsid w:val="00EB3223"/>
    <w:rsid w:val="00EB4638"/>
    <w:rsid w:val="00EB4D34"/>
    <w:rsid w:val="00EB6550"/>
    <w:rsid w:val="00EB6B9B"/>
    <w:rsid w:val="00EB6F97"/>
    <w:rsid w:val="00EB70BC"/>
    <w:rsid w:val="00EC2277"/>
    <w:rsid w:val="00EC26E3"/>
    <w:rsid w:val="00EC2FB0"/>
    <w:rsid w:val="00EC4015"/>
    <w:rsid w:val="00EC43FC"/>
    <w:rsid w:val="00EC5180"/>
    <w:rsid w:val="00EC5375"/>
    <w:rsid w:val="00EC5AE8"/>
    <w:rsid w:val="00EC6048"/>
    <w:rsid w:val="00EC75D4"/>
    <w:rsid w:val="00ED0278"/>
    <w:rsid w:val="00ED1114"/>
    <w:rsid w:val="00ED1504"/>
    <w:rsid w:val="00ED2C56"/>
    <w:rsid w:val="00ED37B3"/>
    <w:rsid w:val="00ED42B5"/>
    <w:rsid w:val="00ED5165"/>
    <w:rsid w:val="00ED551F"/>
    <w:rsid w:val="00ED65CA"/>
    <w:rsid w:val="00ED6924"/>
    <w:rsid w:val="00ED6AB4"/>
    <w:rsid w:val="00ED78C0"/>
    <w:rsid w:val="00EE0211"/>
    <w:rsid w:val="00EE0ECA"/>
    <w:rsid w:val="00EE1C43"/>
    <w:rsid w:val="00EE1C5B"/>
    <w:rsid w:val="00EE2062"/>
    <w:rsid w:val="00EE23BC"/>
    <w:rsid w:val="00EE255D"/>
    <w:rsid w:val="00EE28C8"/>
    <w:rsid w:val="00EE5C5F"/>
    <w:rsid w:val="00EE6BD4"/>
    <w:rsid w:val="00EE6F49"/>
    <w:rsid w:val="00EE6FA2"/>
    <w:rsid w:val="00EE7E39"/>
    <w:rsid w:val="00EF07EB"/>
    <w:rsid w:val="00EF09D5"/>
    <w:rsid w:val="00EF24BA"/>
    <w:rsid w:val="00EF269A"/>
    <w:rsid w:val="00EF2791"/>
    <w:rsid w:val="00EF2FD3"/>
    <w:rsid w:val="00EF4FFB"/>
    <w:rsid w:val="00EF5649"/>
    <w:rsid w:val="00EF5A5E"/>
    <w:rsid w:val="00EF5D43"/>
    <w:rsid w:val="00EF5DF6"/>
    <w:rsid w:val="00EF65DD"/>
    <w:rsid w:val="00EF6766"/>
    <w:rsid w:val="00EF6BCA"/>
    <w:rsid w:val="00EF7003"/>
    <w:rsid w:val="00EF70B1"/>
    <w:rsid w:val="00EF74FF"/>
    <w:rsid w:val="00F00B0D"/>
    <w:rsid w:val="00F01784"/>
    <w:rsid w:val="00F026BB"/>
    <w:rsid w:val="00F03801"/>
    <w:rsid w:val="00F038B3"/>
    <w:rsid w:val="00F03A44"/>
    <w:rsid w:val="00F06D25"/>
    <w:rsid w:val="00F1191E"/>
    <w:rsid w:val="00F158B1"/>
    <w:rsid w:val="00F15E3F"/>
    <w:rsid w:val="00F160DE"/>
    <w:rsid w:val="00F1636E"/>
    <w:rsid w:val="00F16D19"/>
    <w:rsid w:val="00F17D44"/>
    <w:rsid w:val="00F20299"/>
    <w:rsid w:val="00F20386"/>
    <w:rsid w:val="00F20C14"/>
    <w:rsid w:val="00F21433"/>
    <w:rsid w:val="00F217A0"/>
    <w:rsid w:val="00F23C41"/>
    <w:rsid w:val="00F2404C"/>
    <w:rsid w:val="00F243BE"/>
    <w:rsid w:val="00F24715"/>
    <w:rsid w:val="00F2477F"/>
    <w:rsid w:val="00F2501A"/>
    <w:rsid w:val="00F25A72"/>
    <w:rsid w:val="00F26A1A"/>
    <w:rsid w:val="00F279B0"/>
    <w:rsid w:val="00F279EF"/>
    <w:rsid w:val="00F306F4"/>
    <w:rsid w:val="00F30BF9"/>
    <w:rsid w:val="00F30C93"/>
    <w:rsid w:val="00F30FAB"/>
    <w:rsid w:val="00F31019"/>
    <w:rsid w:val="00F3164E"/>
    <w:rsid w:val="00F32050"/>
    <w:rsid w:val="00F348CB"/>
    <w:rsid w:val="00F34C2B"/>
    <w:rsid w:val="00F37EFF"/>
    <w:rsid w:val="00F402BD"/>
    <w:rsid w:val="00F404F4"/>
    <w:rsid w:val="00F40CEC"/>
    <w:rsid w:val="00F42A40"/>
    <w:rsid w:val="00F42CF1"/>
    <w:rsid w:val="00F433FF"/>
    <w:rsid w:val="00F450B8"/>
    <w:rsid w:val="00F461BA"/>
    <w:rsid w:val="00F466F5"/>
    <w:rsid w:val="00F509AA"/>
    <w:rsid w:val="00F5267C"/>
    <w:rsid w:val="00F526B0"/>
    <w:rsid w:val="00F52835"/>
    <w:rsid w:val="00F52B06"/>
    <w:rsid w:val="00F53A62"/>
    <w:rsid w:val="00F553E8"/>
    <w:rsid w:val="00F55583"/>
    <w:rsid w:val="00F556FF"/>
    <w:rsid w:val="00F558A4"/>
    <w:rsid w:val="00F57919"/>
    <w:rsid w:val="00F600A9"/>
    <w:rsid w:val="00F60122"/>
    <w:rsid w:val="00F60EC3"/>
    <w:rsid w:val="00F61237"/>
    <w:rsid w:val="00F632BD"/>
    <w:rsid w:val="00F6345E"/>
    <w:rsid w:val="00F63C41"/>
    <w:rsid w:val="00F64831"/>
    <w:rsid w:val="00F64AD6"/>
    <w:rsid w:val="00F64D12"/>
    <w:rsid w:val="00F71269"/>
    <w:rsid w:val="00F7131E"/>
    <w:rsid w:val="00F71BE1"/>
    <w:rsid w:val="00F72C8E"/>
    <w:rsid w:val="00F731B9"/>
    <w:rsid w:val="00F73360"/>
    <w:rsid w:val="00F73DB4"/>
    <w:rsid w:val="00F74028"/>
    <w:rsid w:val="00F74351"/>
    <w:rsid w:val="00F743F9"/>
    <w:rsid w:val="00F745F4"/>
    <w:rsid w:val="00F75ECE"/>
    <w:rsid w:val="00F7679A"/>
    <w:rsid w:val="00F76EAE"/>
    <w:rsid w:val="00F76EF2"/>
    <w:rsid w:val="00F80347"/>
    <w:rsid w:val="00F80C6F"/>
    <w:rsid w:val="00F8133B"/>
    <w:rsid w:val="00F81BAF"/>
    <w:rsid w:val="00F8373F"/>
    <w:rsid w:val="00F839F3"/>
    <w:rsid w:val="00F85142"/>
    <w:rsid w:val="00F8635D"/>
    <w:rsid w:val="00F8791A"/>
    <w:rsid w:val="00F87F27"/>
    <w:rsid w:val="00F87FC1"/>
    <w:rsid w:val="00F90699"/>
    <w:rsid w:val="00F9374D"/>
    <w:rsid w:val="00F937A6"/>
    <w:rsid w:val="00F9602F"/>
    <w:rsid w:val="00F97E08"/>
    <w:rsid w:val="00FA0353"/>
    <w:rsid w:val="00FA0F4F"/>
    <w:rsid w:val="00FA12E5"/>
    <w:rsid w:val="00FA1F0F"/>
    <w:rsid w:val="00FA24D7"/>
    <w:rsid w:val="00FA25EE"/>
    <w:rsid w:val="00FA2853"/>
    <w:rsid w:val="00FA2F27"/>
    <w:rsid w:val="00FA2F96"/>
    <w:rsid w:val="00FA31AD"/>
    <w:rsid w:val="00FA3EF9"/>
    <w:rsid w:val="00FA441C"/>
    <w:rsid w:val="00FA467A"/>
    <w:rsid w:val="00FA530C"/>
    <w:rsid w:val="00FA6DFE"/>
    <w:rsid w:val="00FA732A"/>
    <w:rsid w:val="00FB027A"/>
    <w:rsid w:val="00FB0382"/>
    <w:rsid w:val="00FB311D"/>
    <w:rsid w:val="00FB411D"/>
    <w:rsid w:val="00FB4B84"/>
    <w:rsid w:val="00FB4C06"/>
    <w:rsid w:val="00FB50F4"/>
    <w:rsid w:val="00FB5948"/>
    <w:rsid w:val="00FB72A2"/>
    <w:rsid w:val="00FB78B1"/>
    <w:rsid w:val="00FC01EC"/>
    <w:rsid w:val="00FC03A6"/>
    <w:rsid w:val="00FC1014"/>
    <w:rsid w:val="00FC2697"/>
    <w:rsid w:val="00FC2DA2"/>
    <w:rsid w:val="00FC34FE"/>
    <w:rsid w:val="00FC3D7E"/>
    <w:rsid w:val="00FC5D0E"/>
    <w:rsid w:val="00FC5EAF"/>
    <w:rsid w:val="00FD15AC"/>
    <w:rsid w:val="00FD2EC2"/>
    <w:rsid w:val="00FD3D18"/>
    <w:rsid w:val="00FD4237"/>
    <w:rsid w:val="00FD52CF"/>
    <w:rsid w:val="00FD5ED0"/>
    <w:rsid w:val="00FD5F05"/>
    <w:rsid w:val="00FD7DB1"/>
    <w:rsid w:val="00FE0956"/>
    <w:rsid w:val="00FE1A18"/>
    <w:rsid w:val="00FE2D46"/>
    <w:rsid w:val="00FE3DF2"/>
    <w:rsid w:val="00FE4D51"/>
    <w:rsid w:val="00FE644F"/>
    <w:rsid w:val="00FE6537"/>
    <w:rsid w:val="00FE6980"/>
    <w:rsid w:val="00FE78AD"/>
    <w:rsid w:val="00FE7B18"/>
    <w:rsid w:val="00FF03B1"/>
    <w:rsid w:val="00FF0630"/>
    <w:rsid w:val="00FF081B"/>
    <w:rsid w:val="00FF0D99"/>
    <w:rsid w:val="00FF15EB"/>
    <w:rsid w:val="00FF23D6"/>
    <w:rsid w:val="00FF460B"/>
    <w:rsid w:val="00FF5A78"/>
    <w:rsid w:val="00FF6508"/>
    <w:rsid w:val="00FF72E1"/>
    <w:rsid w:val="00FF74D6"/>
    <w:rsid w:val="00FF7C0A"/>
    <w:rsid w:val="01775F30"/>
    <w:rsid w:val="03406F9E"/>
    <w:rsid w:val="03E06393"/>
    <w:rsid w:val="03FF38ED"/>
    <w:rsid w:val="04A104ED"/>
    <w:rsid w:val="0605FD09"/>
    <w:rsid w:val="060E4DB8"/>
    <w:rsid w:val="065B58DF"/>
    <w:rsid w:val="06F0AB3D"/>
    <w:rsid w:val="06FB1237"/>
    <w:rsid w:val="0775FDDE"/>
    <w:rsid w:val="07DBD228"/>
    <w:rsid w:val="07FF7334"/>
    <w:rsid w:val="0939BB26"/>
    <w:rsid w:val="0980AA82"/>
    <w:rsid w:val="0A3845E4"/>
    <w:rsid w:val="0A890455"/>
    <w:rsid w:val="0A98B3F0"/>
    <w:rsid w:val="0B420EAD"/>
    <w:rsid w:val="0BAC2D7A"/>
    <w:rsid w:val="0BD9A653"/>
    <w:rsid w:val="0C2D781A"/>
    <w:rsid w:val="0C6BABD2"/>
    <w:rsid w:val="0CCA87BC"/>
    <w:rsid w:val="0CE6C629"/>
    <w:rsid w:val="0CFBE8BB"/>
    <w:rsid w:val="0D2431EE"/>
    <w:rsid w:val="0E34244C"/>
    <w:rsid w:val="0EBE35BC"/>
    <w:rsid w:val="0EF18809"/>
    <w:rsid w:val="0F515E70"/>
    <w:rsid w:val="0F95CCCC"/>
    <w:rsid w:val="103AD660"/>
    <w:rsid w:val="109FAAE9"/>
    <w:rsid w:val="10B696BE"/>
    <w:rsid w:val="1172BB00"/>
    <w:rsid w:val="11ED1A6B"/>
    <w:rsid w:val="12385442"/>
    <w:rsid w:val="12BB5B6C"/>
    <w:rsid w:val="12F9F584"/>
    <w:rsid w:val="139B5723"/>
    <w:rsid w:val="143B06EA"/>
    <w:rsid w:val="14F787F9"/>
    <w:rsid w:val="14FFAB92"/>
    <w:rsid w:val="155196F5"/>
    <w:rsid w:val="1587D2A7"/>
    <w:rsid w:val="15BD1726"/>
    <w:rsid w:val="1650DAED"/>
    <w:rsid w:val="171895D1"/>
    <w:rsid w:val="17DE699F"/>
    <w:rsid w:val="1831193F"/>
    <w:rsid w:val="18D0C159"/>
    <w:rsid w:val="18ED6751"/>
    <w:rsid w:val="18F5553A"/>
    <w:rsid w:val="19A69028"/>
    <w:rsid w:val="19BC4A62"/>
    <w:rsid w:val="1A48FAB9"/>
    <w:rsid w:val="1AFC1C93"/>
    <w:rsid w:val="1B1E03F1"/>
    <w:rsid w:val="1B2EEB74"/>
    <w:rsid w:val="1B484E7B"/>
    <w:rsid w:val="1BE909E7"/>
    <w:rsid w:val="1C4A35A8"/>
    <w:rsid w:val="1C8E0E15"/>
    <w:rsid w:val="1C922FDD"/>
    <w:rsid w:val="1CF88966"/>
    <w:rsid w:val="1D6E8729"/>
    <w:rsid w:val="1E4AA4BA"/>
    <w:rsid w:val="1E570C18"/>
    <w:rsid w:val="1EA950BA"/>
    <w:rsid w:val="1EBFA978"/>
    <w:rsid w:val="1ED0198C"/>
    <w:rsid w:val="1EFBC6F5"/>
    <w:rsid w:val="1F2F8598"/>
    <w:rsid w:val="1F442990"/>
    <w:rsid w:val="1F7C4799"/>
    <w:rsid w:val="2022158C"/>
    <w:rsid w:val="20E9E6CC"/>
    <w:rsid w:val="20F0FF3F"/>
    <w:rsid w:val="210A0841"/>
    <w:rsid w:val="21CFE220"/>
    <w:rsid w:val="21E7E11B"/>
    <w:rsid w:val="21F12F10"/>
    <w:rsid w:val="224A8491"/>
    <w:rsid w:val="228FFF39"/>
    <w:rsid w:val="2299BBC2"/>
    <w:rsid w:val="22F1B187"/>
    <w:rsid w:val="22FC7059"/>
    <w:rsid w:val="2388B6F7"/>
    <w:rsid w:val="23DBC638"/>
    <w:rsid w:val="23DE91CC"/>
    <w:rsid w:val="24300570"/>
    <w:rsid w:val="256CE828"/>
    <w:rsid w:val="2581546E"/>
    <w:rsid w:val="2587AC27"/>
    <w:rsid w:val="25910723"/>
    <w:rsid w:val="25B6F4C1"/>
    <w:rsid w:val="260B2BC6"/>
    <w:rsid w:val="26AC8576"/>
    <w:rsid w:val="2721C736"/>
    <w:rsid w:val="28D4C3B2"/>
    <w:rsid w:val="28D99300"/>
    <w:rsid w:val="294F6F09"/>
    <w:rsid w:val="2973C20B"/>
    <w:rsid w:val="29EC25EF"/>
    <w:rsid w:val="2A01864A"/>
    <w:rsid w:val="2B256F16"/>
    <w:rsid w:val="2B813B5D"/>
    <w:rsid w:val="2B8C5CC4"/>
    <w:rsid w:val="2B918D8E"/>
    <w:rsid w:val="2C1F53A8"/>
    <w:rsid w:val="2C20837E"/>
    <w:rsid w:val="2C52EB88"/>
    <w:rsid w:val="2CF48FC2"/>
    <w:rsid w:val="2CFAB716"/>
    <w:rsid w:val="2D60206D"/>
    <w:rsid w:val="2DE55F52"/>
    <w:rsid w:val="2E502F70"/>
    <w:rsid w:val="2EB5C9AE"/>
    <w:rsid w:val="2F0F36C5"/>
    <w:rsid w:val="2F4AFFC9"/>
    <w:rsid w:val="2FB96549"/>
    <w:rsid w:val="2FCC907B"/>
    <w:rsid w:val="2FF95F8F"/>
    <w:rsid w:val="303EDDA9"/>
    <w:rsid w:val="30F79FBD"/>
    <w:rsid w:val="31380595"/>
    <w:rsid w:val="3220738C"/>
    <w:rsid w:val="32553D24"/>
    <w:rsid w:val="32915B86"/>
    <w:rsid w:val="338D1C3D"/>
    <w:rsid w:val="343432DF"/>
    <w:rsid w:val="34C85453"/>
    <w:rsid w:val="350DCD6C"/>
    <w:rsid w:val="35FE3EF5"/>
    <w:rsid w:val="3717F5E1"/>
    <w:rsid w:val="37340BD1"/>
    <w:rsid w:val="37943F0E"/>
    <w:rsid w:val="37960365"/>
    <w:rsid w:val="37D6E3CF"/>
    <w:rsid w:val="385674B8"/>
    <w:rsid w:val="3861C9A1"/>
    <w:rsid w:val="38B2EED3"/>
    <w:rsid w:val="39747177"/>
    <w:rsid w:val="397B4F91"/>
    <w:rsid w:val="398206E6"/>
    <w:rsid w:val="39860FC5"/>
    <w:rsid w:val="3AB73971"/>
    <w:rsid w:val="3ABADF2F"/>
    <w:rsid w:val="3AEA3572"/>
    <w:rsid w:val="3B59A14C"/>
    <w:rsid w:val="3BFB45B3"/>
    <w:rsid w:val="3C019B5C"/>
    <w:rsid w:val="3C5D2F70"/>
    <w:rsid w:val="3C817C6C"/>
    <w:rsid w:val="3CB9C94A"/>
    <w:rsid w:val="3E564B06"/>
    <w:rsid w:val="4007B967"/>
    <w:rsid w:val="401A390E"/>
    <w:rsid w:val="40A56424"/>
    <w:rsid w:val="40F2EB12"/>
    <w:rsid w:val="41071D65"/>
    <w:rsid w:val="4111A0D2"/>
    <w:rsid w:val="418B8A23"/>
    <w:rsid w:val="41918A8D"/>
    <w:rsid w:val="41A18850"/>
    <w:rsid w:val="4357A28C"/>
    <w:rsid w:val="43698381"/>
    <w:rsid w:val="439618D5"/>
    <w:rsid w:val="440B36DF"/>
    <w:rsid w:val="44B2FBAD"/>
    <w:rsid w:val="4502FA22"/>
    <w:rsid w:val="45422BF5"/>
    <w:rsid w:val="45CFB2A0"/>
    <w:rsid w:val="467B1555"/>
    <w:rsid w:val="46F0A149"/>
    <w:rsid w:val="4711BC3A"/>
    <w:rsid w:val="47627903"/>
    <w:rsid w:val="47CBB867"/>
    <w:rsid w:val="494226CC"/>
    <w:rsid w:val="4A407E15"/>
    <w:rsid w:val="4A772EE9"/>
    <w:rsid w:val="4AA483F0"/>
    <w:rsid w:val="4B8AD47C"/>
    <w:rsid w:val="4C665911"/>
    <w:rsid w:val="4CEDC6A2"/>
    <w:rsid w:val="4D16C5E6"/>
    <w:rsid w:val="4D5A0CF8"/>
    <w:rsid w:val="4DBC254B"/>
    <w:rsid w:val="4DC934CB"/>
    <w:rsid w:val="4DDE9ABF"/>
    <w:rsid w:val="4DE5103E"/>
    <w:rsid w:val="4E155446"/>
    <w:rsid w:val="4E57C690"/>
    <w:rsid w:val="4E9E1C51"/>
    <w:rsid w:val="4EA9A9EE"/>
    <w:rsid w:val="4EC70C25"/>
    <w:rsid w:val="4F509CB8"/>
    <w:rsid w:val="4FEA9879"/>
    <w:rsid w:val="5015AC4A"/>
    <w:rsid w:val="50422E8C"/>
    <w:rsid w:val="504868C5"/>
    <w:rsid w:val="50494F03"/>
    <w:rsid w:val="50DAAB2C"/>
    <w:rsid w:val="50DB05A9"/>
    <w:rsid w:val="5121E982"/>
    <w:rsid w:val="512E62D4"/>
    <w:rsid w:val="52234B82"/>
    <w:rsid w:val="524EF37B"/>
    <w:rsid w:val="52953D52"/>
    <w:rsid w:val="529A81C3"/>
    <w:rsid w:val="52C73887"/>
    <w:rsid w:val="5302CABD"/>
    <w:rsid w:val="53335129"/>
    <w:rsid w:val="5423A2FA"/>
    <w:rsid w:val="5440346C"/>
    <w:rsid w:val="547054D6"/>
    <w:rsid w:val="552A6A4A"/>
    <w:rsid w:val="55302A3E"/>
    <w:rsid w:val="553495E7"/>
    <w:rsid w:val="5545891C"/>
    <w:rsid w:val="555844E9"/>
    <w:rsid w:val="56C0782D"/>
    <w:rsid w:val="56DF3C00"/>
    <w:rsid w:val="56E69281"/>
    <w:rsid w:val="5713B775"/>
    <w:rsid w:val="57312EAB"/>
    <w:rsid w:val="5771E8E6"/>
    <w:rsid w:val="57CA4271"/>
    <w:rsid w:val="582231F8"/>
    <w:rsid w:val="58414C65"/>
    <w:rsid w:val="584349C8"/>
    <w:rsid w:val="597B843E"/>
    <w:rsid w:val="5A237834"/>
    <w:rsid w:val="5A592431"/>
    <w:rsid w:val="5AD093D8"/>
    <w:rsid w:val="5C385534"/>
    <w:rsid w:val="5C680F73"/>
    <w:rsid w:val="5D02076B"/>
    <w:rsid w:val="5D27FB4A"/>
    <w:rsid w:val="5D2A90A2"/>
    <w:rsid w:val="5D9359D2"/>
    <w:rsid w:val="5DBD58E6"/>
    <w:rsid w:val="5DD6C426"/>
    <w:rsid w:val="5E5937BE"/>
    <w:rsid w:val="5EDD0DD9"/>
    <w:rsid w:val="5EDFE468"/>
    <w:rsid w:val="5F6EC248"/>
    <w:rsid w:val="5FE211A8"/>
    <w:rsid w:val="60054018"/>
    <w:rsid w:val="600E3657"/>
    <w:rsid w:val="601F672C"/>
    <w:rsid w:val="615B57EF"/>
    <w:rsid w:val="620A1E61"/>
    <w:rsid w:val="62D539D6"/>
    <w:rsid w:val="62FADE07"/>
    <w:rsid w:val="6334641E"/>
    <w:rsid w:val="63440B45"/>
    <w:rsid w:val="634611AA"/>
    <w:rsid w:val="63A56BE9"/>
    <w:rsid w:val="63E9B38C"/>
    <w:rsid w:val="641BEF06"/>
    <w:rsid w:val="646E45CD"/>
    <w:rsid w:val="64701756"/>
    <w:rsid w:val="653B97D2"/>
    <w:rsid w:val="65C1C994"/>
    <w:rsid w:val="66114A00"/>
    <w:rsid w:val="6614D246"/>
    <w:rsid w:val="66899D1F"/>
    <w:rsid w:val="66A51A7A"/>
    <w:rsid w:val="67C69A0D"/>
    <w:rsid w:val="67EB97B2"/>
    <w:rsid w:val="685D2A53"/>
    <w:rsid w:val="68E8FC06"/>
    <w:rsid w:val="694B4801"/>
    <w:rsid w:val="695F9DA1"/>
    <w:rsid w:val="69A602BF"/>
    <w:rsid w:val="69F9A19C"/>
    <w:rsid w:val="6A6E9A48"/>
    <w:rsid w:val="6A7C62AF"/>
    <w:rsid w:val="6A9025F8"/>
    <w:rsid w:val="6B38244B"/>
    <w:rsid w:val="6C352F12"/>
    <w:rsid w:val="6CA82776"/>
    <w:rsid w:val="6D143087"/>
    <w:rsid w:val="6DA64031"/>
    <w:rsid w:val="6DF6CFDC"/>
    <w:rsid w:val="6E1BDC03"/>
    <w:rsid w:val="6EC47D3A"/>
    <w:rsid w:val="6F1F6EF0"/>
    <w:rsid w:val="6F246580"/>
    <w:rsid w:val="6F96F7FC"/>
    <w:rsid w:val="6FB9C747"/>
    <w:rsid w:val="7028B15F"/>
    <w:rsid w:val="70A8F8AA"/>
    <w:rsid w:val="70AAE61F"/>
    <w:rsid w:val="7133B570"/>
    <w:rsid w:val="7139EC04"/>
    <w:rsid w:val="71B991EC"/>
    <w:rsid w:val="71D63332"/>
    <w:rsid w:val="7231D688"/>
    <w:rsid w:val="723DA301"/>
    <w:rsid w:val="7266012D"/>
    <w:rsid w:val="73C73140"/>
    <w:rsid w:val="73E688BB"/>
    <w:rsid w:val="73F8727C"/>
    <w:rsid w:val="73FF9324"/>
    <w:rsid w:val="74439353"/>
    <w:rsid w:val="74A9FD55"/>
    <w:rsid w:val="74E417FA"/>
    <w:rsid w:val="752959C2"/>
    <w:rsid w:val="76493960"/>
    <w:rsid w:val="76BA7A11"/>
    <w:rsid w:val="76BDFAE8"/>
    <w:rsid w:val="77520751"/>
    <w:rsid w:val="7791C628"/>
    <w:rsid w:val="77B04BE5"/>
    <w:rsid w:val="77F4BC90"/>
    <w:rsid w:val="78BAE617"/>
    <w:rsid w:val="7A0208A1"/>
    <w:rsid w:val="7B365D0D"/>
    <w:rsid w:val="7B54E917"/>
    <w:rsid w:val="7B687B7C"/>
    <w:rsid w:val="7B8C0D58"/>
    <w:rsid w:val="7BC4146F"/>
    <w:rsid w:val="7C954884"/>
    <w:rsid w:val="7CC510B5"/>
    <w:rsid w:val="7CF1ED58"/>
    <w:rsid w:val="7D5DC462"/>
    <w:rsid w:val="7D9CF334"/>
    <w:rsid w:val="7DA4E726"/>
    <w:rsid w:val="7DE605DF"/>
    <w:rsid w:val="7E264017"/>
    <w:rsid w:val="7EF2FE7A"/>
    <w:rsid w:val="7EFB30F6"/>
    <w:rsid w:val="7F2E2E9B"/>
    <w:rsid w:val="7FE8E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6987C"/>
  <w15:chartTrackingRefBased/>
  <w15:docId w15:val="{54DA9BC1-1E75-4049-AA30-F0BF05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D74"/>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9C5D74"/>
    <w:pPr>
      <w:keepNext/>
      <w:keepLines/>
      <w:numPr>
        <w:numId w:val="3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D74"/>
    <w:pPr>
      <w:keepNext/>
      <w:keepLines/>
      <w:numPr>
        <w:ilvl w:val="1"/>
        <w:numId w:val="38"/>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5D74"/>
    <w:pPr>
      <w:keepNext/>
      <w:keepLines/>
      <w:numPr>
        <w:ilvl w:val="2"/>
        <w:numId w:val="3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D74"/>
    <w:pPr>
      <w:keepNext/>
      <w:keepLines/>
      <w:numPr>
        <w:ilvl w:val="3"/>
        <w:numId w:val="38"/>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D74"/>
    <w:pPr>
      <w:keepNext/>
      <w:keepLines/>
      <w:numPr>
        <w:ilvl w:val="4"/>
        <w:numId w:val="38"/>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D74"/>
    <w:pPr>
      <w:keepNext/>
      <w:keepLines/>
      <w:numPr>
        <w:ilvl w:val="5"/>
        <w:numId w:val="38"/>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D74"/>
    <w:pPr>
      <w:keepNext/>
      <w:keepLines/>
      <w:numPr>
        <w:ilvl w:val="6"/>
        <w:numId w:val="38"/>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D74"/>
    <w:pPr>
      <w:keepNext/>
      <w:keepLines/>
      <w:numPr>
        <w:ilvl w:val="7"/>
        <w:numId w:val="38"/>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D74"/>
    <w:pPr>
      <w:keepNext/>
      <w:keepLines/>
      <w:numPr>
        <w:ilvl w:val="8"/>
        <w:numId w:val="38"/>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5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D74"/>
    <w:rPr>
      <w:rFonts w:eastAsiaTheme="majorEastAsia" w:cstheme="majorBidi"/>
      <w:color w:val="272727" w:themeColor="text1" w:themeTint="D8"/>
    </w:rPr>
  </w:style>
  <w:style w:type="paragraph" w:styleId="Title">
    <w:name w:val="Title"/>
    <w:basedOn w:val="Normal"/>
    <w:next w:val="Normal"/>
    <w:link w:val="TitleChar"/>
    <w:uiPriority w:val="10"/>
    <w:qFormat/>
    <w:rsid w:val="009C5D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D74"/>
    <w:pPr>
      <w:spacing w:before="160"/>
      <w:jc w:val="center"/>
    </w:pPr>
    <w:rPr>
      <w:i/>
      <w:iCs/>
      <w:color w:val="404040" w:themeColor="text1" w:themeTint="BF"/>
    </w:rPr>
  </w:style>
  <w:style w:type="character" w:customStyle="1" w:styleId="QuoteChar">
    <w:name w:val="Quote Char"/>
    <w:basedOn w:val="DefaultParagraphFont"/>
    <w:link w:val="Quote"/>
    <w:uiPriority w:val="29"/>
    <w:rsid w:val="009C5D74"/>
    <w:rPr>
      <w:i/>
      <w:iCs/>
      <w:color w:val="404040" w:themeColor="text1" w:themeTint="BF"/>
    </w:rPr>
  </w:style>
  <w:style w:type="paragraph" w:styleId="ListParagraph">
    <w:name w:val="List Paragraph"/>
    <w:basedOn w:val="Normal"/>
    <w:uiPriority w:val="34"/>
    <w:qFormat/>
    <w:rsid w:val="009C5D74"/>
    <w:pPr>
      <w:ind w:left="720"/>
      <w:contextualSpacing/>
    </w:pPr>
  </w:style>
  <w:style w:type="character" w:styleId="IntenseEmphasis">
    <w:name w:val="Intense Emphasis"/>
    <w:basedOn w:val="DefaultParagraphFont"/>
    <w:uiPriority w:val="21"/>
    <w:qFormat/>
    <w:rsid w:val="009C5D74"/>
    <w:rPr>
      <w:i/>
      <w:iCs/>
      <w:color w:val="0F4761" w:themeColor="accent1" w:themeShade="BF"/>
    </w:rPr>
  </w:style>
  <w:style w:type="paragraph" w:styleId="IntenseQuote">
    <w:name w:val="Intense Quote"/>
    <w:basedOn w:val="Normal"/>
    <w:next w:val="Normal"/>
    <w:link w:val="IntenseQuoteChar"/>
    <w:uiPriority w:val="30"/>
    <w:qFormat/>
    <w:rsid w:val="009C5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D74"/>
    <w:rPr>
      <w:i/>
      <w:iCs/>
      <w:color w:val="0F4761" w:themeColor="accent1" w:themeShade="BF"/>
    </w:rPr>
  </w:style>
  <w:style w:type="character" w:styleId="IntenseReference">
    <w:name w:val="Intense Reference"/>
    <w:basedOn w:val="DefaultParagraphFont"/>
    <w:uiPriority w:val="32"/>
    <w:qFormat/>
    <w:rsid w:val="009C5D74"/>
    <w:rPr>
      <w:b/>
      <w:bCs/>
      <w:smallCaps/>
      <w:color w:val="0F4761" w:themeColor="accent1" w:themeShade="BF"/>
      <w:spacing w:val="5"/>
    </w:rPr>
  </w:style>
  <w:style w:type="paragraph" w:styleId="BodyText">
    <w:name w:val="Body Text"/>
    <w:basedOn w:val="Normal"/>
    <w:link w:val="BodyTextChar"/>
    <w:uiPriority w:val="1"/>
    <w:qFormat/>
    <w:rsid w:val="009C5D74"/>
    <w:rPr>
      <w:sz w:val="24"/>
      <w:szCs w:val="24"/>
    </w:rPr>
  </w:style>
  <w:style w:type="character" w:customStyle="1" w:styleId="BodyTextChar">
    <w:name w:val="Body Text Char"/>
    <w:basedOn w:val="DefaultParagraphFont"/>
    <w:link w:val="BodyText"/>
    <w:uiPriority w:val="1"/>
    <w:rsid w:val="009C5D74"/>
    <w:rPr>
      <w:rFonts w:ascii="Times New Roman" w:eastAsia="Times New Roman" w:hAnsi="Times New Roman" w:cs="Times New Roman"/>
      <w:kern w:val="0"/>
      <w:sz w:val="24"/>
      <w:szCs w:val="24"/>
    </w:rPr>
  </w:style>
  <w:style w:type="paragraph" w:styleId="NormalWeb">
    <w:name w:val="Normal (Web)"/>
    <w:basedOn w:val="Normal"/>
    <w:uiPriority w:val="99"/>
    <w:unhideWhenUsed/>
    <w:rsid w:val="00E94A0C"/>
    <w:pPr>
      <w:widowControl/>
      <w:autoSpaceDE/>
      <w:autoSpaceDN/>
      <w:spacing w:before="100" w:beforeAutospacing="1" w:after="100" w:afterAutospacing="1"/>
    </w:pPr>
    <w:rPr>
      <w:sz w:val="24"/>
      <w:szCs w:val="24"/>
      <w14:ligatures w14:val="none"/>
    </w:rPr>
  </w:style>
  <w:style w:type="character" w:styleId="Hyperlink">
    <w:name w:val="Hyperlink"/>
    <w:basedOn w:val="DefaultParagraphFont"/>
    <w:uiPriority w:val="99"/>
    <w:unhideWhenUsed/>
    <w:rsid w:val="00E94A0C"/>
    <w:rPr>
      <w:color w:val="467886" w:themeColor="hyperlink"/>
      <w:u w:val="single"/>
    </w:rPr>
  </w:style>
  <w:style w:type="character" w:styleId="UnresolvedMention">
    <w:name w:val="Unresolved Mention"/>
    <w:basedOn w:val="DefaultParagraphFont"/>
    <w:uiPriority w:val="99"/>
    <w:semiHidden/>
    <w:unhideWhenUsed/>
    <w:rsid w:val="00B47496"/>
    <w:rPr>
      <w:color w:val="605E5C"/>
      <w:shd w:val="clear" w:color="auto" w:fill="E1DFDD"/>
    </w:rPr>
  </w:style>
  <w:style w:type="paragraph" w:customStyle="1" w:styleId="paragraph">
    <w:name w:val="paragraph"/>
    <w:basedOn w:val="Normal"/>
    <w:rsid w:val="00E4339D"/>
    <w:pPr>
      <w:widowControl/>
      <w:autoSpaceDE/>
      <w:autoSpaceDN/>
      <w:spacing w:before="100" w:beforeAutospacing="1" w:after="100" w:afterAutospacing="1"/>
    </w:pPr>
    <w:rPr>
      <w:sz w:val="24"/>
      <w:szCs w:val="24"/>
      <w14:ligatures w14:val="none"/>
    </w:rPr>
  </w:style>
  <w:style w:type="paragraph" w:customStyle="1" w:styleId="Default">
    <w:name w:val="Default"/>
    <w:rsid w:val="00FA31AD"/>
    <w:pPr>
      <w:autoSpaceDE w:val="0"/>
      <w:autoSpaceDN w:val="0"/>
      <w:adjustRightInd w:val="0"/>
      <w:spacing w:after="0" w:line="240" w:lineRule="auto"/>
    </w:pPr>
    <w:rPr>
      <w:rFonts w:ascii="JDCAD F+ Gulliver" w:hAnsi="JDCAD F+ Gulliver" w:cs="JDCAD F+ Gulliver"/>
      <w:color w:val="000000"/>
      <w:kern w:val="0"/>
      <w:sz w:val="24"/>
      <w:szCs w:val="24"/>
    </w:rPr>
  </w:style>
  <w:style w:type="character" w:styleId="FollowedHyperlink">
    <w:name w:val="FollowedHyperlink"/>
    <w:basedOn w:val="DefaultParagraphFont"/>
    <w:uiPriority w:val="99"/>
    <w:semiHidden/>
    <w:unhideWhenUsed/>
    <w:rsid w:val="00B00BA9"/>
    <w:rPr>
      <w:color w:val="96607D" w:themeColor="followedHyperlink"/>
      <w:u w:val="single"/>
    </w:rPr>
  </w:style>
  <w:style w:type="character" w:styleId="Strong">
    <w:name w:val="Strong"/>
    <w:basedOn w:val="DefaultParagraphFont"/>
    <w:uiPriority w:val="22"/>
    <w:qFormat/>
    <w:rsid w:val="002B267E"/>
    <w:rPr>
      <w:b/>
      <w:bCs/>
    </w:rPr>
  </w:style>
  <w:style w:type="character" w:styleId="Emphasis">
    <w:name w:val="Emphasis"/>
    <w:basedOn w:val="DefaultParagraphFont"/>
    <w:uiPriority w:val="20"/>
    <w:qFormat/>
    <w:rsid w:val="002B267E"/>
    <w:rPr>
      <w:i/>
      <w:iCs/>
    </w:rPr>
  </w:style>
  <w:style w:type="paragraph" w:customStyle="1" w:styleId="msonormal0">
    <w:name w:val="msonormal"/>
    <w:basedOn w:val="Normal"/>
    <w:rsid w:val="002207A4"/>
    <w:pPr>
      <w:widowControl/>
      <w:autoSpaceDE/>
      <w:autoSpaceDN/>
      <w:spacing w:before="100" w:beforeAutospacing="1" w:after="100" w:afterAutospacing="1"/>
    </w:pPr>
    <w:rPr>
      <w:sz w:val="24"/>
      <w:szCs w:val="24"/>
      <w14:ligatures w14:val="none"/>
    </w:rPr>
  </w:style>
  <w:style w:type="paragraph" w:customStyle="1" w:styleId="font5">
    <w:name w:val="font5"/>
    <w:basedOn w:val="Normal"/>
    <w:rsid w:val="002207A4"/>
    <w:pPr>
      <w:widowControl/>
      <w:autoSpaceDE/>
      <w:autoSpaceDN/>
      <w:spacing w:before="100" w:beforeAutospacing="1" w:after="100" w:afterAutospacing="1"/>
    </w:pPr>
    <w:rPr>
      <w:rFonts w:ascii="Arial" w:hAnsi="Arial" w:cs="Arial"/>
      <w:color w:val="993300"/>
      <w:sz w:val="24"/>
      <w:szCs w:val="24"/>
      <w14:ligatures w14:val="none"/>
    </w:rPr>
  </w:style>
  <w:style w:type="paragraph" w:customStyle="1" w:styleId="xl68">
    <w:name w:val="xl68"/>
    <w:basedOn w:val="Normal"/>
    <w:rsid w:val="002207A4"/>
    <w:pPr>
      <w:widowControl/>
      <w:autoSpaceDE/>
      <w:autoSpaceDN/>
      <w:spacing w:before="100" w:beforeAutospacing="1" w:after="100" w:afterAutospacing="1"/>
    </w:pPr>
    <w:rPr>
      <w:rFonts w:ascii="Arial" w:hAnsi="Arial" w:cs="Arial"/>
      <w:sz w:val="20"/>
      <w:szCs w:val="20"/>
      <w14:ligatures w14:val="none"/>
    </w:rPr>
  </w:style>
  <w:style w:type="paragraph" w:customStyle="1" w:styleId="xl69">
    <w:name w:val="xl69"/>
    <w:basedOn w:val="Normal"/>
    <w:rsid w:val="002207A4"/>
    <w:pPr>
      <w:widowControl/>
      <w:pBdr>
        <w:top w:val="single" w:sz="4" w:space="0" w:color="993366"/>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0">
    <w:name w:val="xl70"/>
    <w:basedOn w:val="Normal"/>
    <w:rsid w:val="002207A4"/>
    <w:pPr>
      <w:widowControl/>
      <w:pBdr>
        <w:top w:val="single" w:sz="4" w:space="0" w:color="993366"/>
        <w:left w:val="single" w:sz="4" w:space="0" w:color="333333"/>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1">
    <w:name w:val="xl71"/>
    <w:basedOn w:val="Normal"/>
    <w:rsid w:val="002207A4"/>
    <w:pPr>
      <w:widowControl/>
      <w:pBdr>
        <w:top w:val="single" w:sz="4" w:space="0" w:color="993366"/>
        <w:left w:val="single" w:sz="4" w:space="0" w:color="333333"/>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2">
    <w:name w:val="xl72"/>
    <w:basedOn w:val="Normal"/>
    <w:rsid w:val="002207A4"/>
    <w:pPr>
      <w:widowControl/>
      <w:pBdr>
        <w:top w:val="single" w:sz="4" w:space="0" w:color="993366"/>
        <w:lef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3">
    <w:name w:val="xl73"/>
    <w:basedOn w:val="Normal"/>
    <w:rsid w:val="002207A4"/>
    <w:pPr>
      <w:widowControl/>
      <w:pBdr>
        <w:top w:val="single" w:sz="4" w:space="0" w:color="C0C0C0"/>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4">
    <w:name w:val="xl74"/>
    <w:basedOn w:val="Normal"/>
    <w:rsid w:val="002207A4"/>
    <w:pPr>
      <w:widowControl/>
      <w:pBdr>
        <w:top w:val="single" w:sz="4" w:space="0" w:color="C0C0C0"/>
        <w:left w:val="single" w:sz="4" w:space="0" w:color="333333"/>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5">
    <w:name w:val="xl75"/>
    <w:basedOn w:val="Normal"/>
    <w:rsid w:val="002207A4"/>
    <w:pPr>
      <w:widowControl/>
      <w:pBdr>
        <w:top w:val="single" w:sz="4" w:space="0" w:color="C0C0C0"/>
        <w:left w:val="single" w:sz="4" w:space="0" w:color="333333"/>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6">
    <w:name w:val="xl76"/>
    <w:basedOn w:val="Normal"/>
    <w:rsid w:val="002207A4"/>
    <w:pPr>
      <w:widowControl/>
      <w:pBdr>
        <w:top w:val="single" w:sz="4" w:space="0" w:color="C0C0C0"/>
        <w:left w:val="single" w:sz="4" w:space="0" w:color="333333"/>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7">
    <w:name w:val="xl77"/>
    <w:basedOn w:val="Normal"/>
    <w:rsid w:val="002207A4"/>
    <w:pPr>
      <w:widowControl/>
      <w:pBdr>
        <w:top w:val="single" w:sz="4" w:space="0" w:color="C0C0C0"/>
        <w:lef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8">
    <w:name w:val="xl78"/>
    <w:basedOn w:val="Normal"/>
    <w:rsid w:val="002207A4"/>
    <w:pPr>
      <w:widowControl/>
      <w:pBdr>
        <w:top w:val="single" w:sz="4" w:space="0" w:color="C0C0C0"/>
        <w:lef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79">
    <w:name w:val="xl79"/>
    <w:basedOn w:val="Normal"/>
    <w:rsid w:val="002207A4"/>
    <w:pPr>
      <w:widowControl/>
      <w:pBdr>
        <w:top w:val="single" w:sz="4" w:space="0" w:color="C0C0C0"/>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80">
    <w:name w:val="xl80"/>
    <w:basedOn w:val="Normal"/>
    <w:rsid w:val="002207A4"/>
    <w:pPr>
      <w:widowControl/>
      <w:autoSpaceDE/>
      <w:autoSpaceDN/>
      <w:spacing w:before="100" w:beforeAutospacing="1" w:after="100" w:afterAutospacing="1"/>
    </w:pPr>
    <w:rPr>
      <w:sz w:val="24"/>
      <w:szCs w:val="24"/>
      <w14:ligatures w14:val="none"/>
    </w:rPr>
  </w:style>
  <w:style w:type="paragraph" w:customStyle="1" w:styleId="xl81">
    <w:name w:val="xl81"/>
    <w:basedOn w:val="Normal"/>
    <w:rsid w:val="002207A4"/>
    <w:pPr>
      <w:widowControl/>
      <w:autoSpaceDE/>
      <w:autoSpaceDN/>
      <w:spacing w:before="100" w:beforeAutospacing="1" w:after="100" w:afterAutospacing="1"/>
    </w:pPr>
    <w:rPr>
      <w:sz w:val="24"/>
      <w:szCs w:val="24"/>
      <w14:ligatures w14:val="none"/>
    </w:rPr>
  </w:style>
  <w:style w:type="paragraph" w:customStyle="1" w:styleId="xl82">
    <w:name w:val="xl82"/>
    <w:basedOn w:val="Normal"/>
    <w:rsid w:val="002207A4"/>
    <w:pPr>
      <w:widowControl/>
      <w:pBdr>
        <w:top w:val="single" w:sz="4" w:space="0" w:color="C0C0C0"/>
        <w:left w:val="single" w:sz="4" w:space="0" w:color="333333"/>
        <w:bottom w:val="single" w:sz="4" w:space="0" w:color="993366"/>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83">
    <w:name w:val="xl83"/>
    <w:basedOn w:val="Normal"/>
    <w:rsid w:val="002207A4"/>
    <w:pPr>
      <w:widowControl/>
      <w:pBdr>
        <w:top w:val="single" w:sz="4" w:space="0" w:color="C0C0C0"/>
        <w:bottom w:val="single" w:sz="4" w:space="0" w:color="993366"/>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84">
    <w:name w:val="xl84"/>
    <w:basedOn w:val="Normal"/>
    <w:rsid w:val="002207A4"/>
    <w:pPr>
      <w:widowControl/>
      <w:pBdr>
        <w:top w:val="single" w:sz="4" w:space="0" w:color="C0C0C0"/>
        <w:left w:val="single" w:sz="4" w:space="0" w:color="333333"/>
        <w:bottom w:val="single" w:sz="4" w:space="0" w:color="993366"/>
        <w:right w:val="single" w:sz="4" w:space="0" w:color="333333"/>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xl85">
    <w:name w:val="xl85"/>
    <w:basedOn w:val="Normal"/>
    <w:rsid w:val="002207A4"/>
    <w:pPr>
      <w:widowControl/>
      <w:pBdr>
        <w:top w:val="single" w:sz="4" w:space="0" w:color="C0C0C0"/>
        <w:left w:val="single" w:sz="4" w:space="0" w:color="333333"/>
        <w:bottom w:val="single" w:sz="4" w:space="0" w:color="993366"/>
      </w:pBdr>
      <w:shd w:val="clear" w:color="000000" w:fill="FFFFFF"/>
      <w:autoSpaceDE/>
      <w:autoSpaceDN/>
      <w:spacing w:before="100" w:beforeAutospacing="1" w:after="100" w:afterAutospacing="1"/>
      <w:jc w:val="right"/>
      <w:textAlignment w:val="top"/>
    </w:pPr>
    <w:rPr>
      <w:rFonts w:ascii="Arial" w:hAnsi="Arial" w:cs="Arial"/>
      <w:color w:val="993300"/>
      <w:sz w:val="24"/>
      <w:szCs w:val="24"/>
      <w14:ligatures w14:val="none"/>
    </w:rPr>
  </w:style>
  <w:style w:type="paragraph" w:customStyle="1" w:styleId="BodyTextKeep">
    <w:name w:val="Body Text Keep"/>
    <w:basedOn w:val="BodyText"/>
    <w:rsid w:val="00F17D44"/>
    <w:pPr>
      <w:keepNext/>
      <w:widowControl/>
      <w:tabs>
        <w:tab w:val="right" w:pos="8640"/>
      </w:tabs>
      <w:autoSpaceDE/>
      <w:autoSpaceDN/>
      <w:spacing w:after="280" w:line="360" w:lineRule="auto"/>
      <w:jc w:val="both"/>
    </w:pPr>
    <w:rPr>
      <w:rFonts w:ascii="Garamond" w:hAnsi="Garamond"/>
      <w:spacing w:val="-2"/>
      <w:szCs w:val="20"/>
      <w14:ligatures w14:val="none"/>
    </w:rPr>
  </w:style>
  <w:style w:type="table" w:styleId="TableGrid">
    <w:name w:val="Table Grid"/>
    <w:basedOn w:val="TableNormal"/>
    <w:uiPriority w:val="39"/>
    <w:rsid w:val="00CA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74A13"/>
    <w:pPr>
      <w:spacing w:after="120"/>
      <w:ind w:left="360"/>
    </w:pPr>
  </w:style>
  <w:style w:type="character" w:customStyle="1" w:styleId="BodyTextIndentChar">
    <w:name w:val="Body Text Indent Char"/>
    <w:basedOn w:val="DefaultParagraphFont"/>
    <w:link w:val="BodyTextIndent"/>
    <w:uiPriority w:val="99"/>
    <w:semiHidden/>
    <w:rsid w:val="00E74A13"/>
    <w:rPr>
      <w:rFonts w:ascii="Times New Roman" w:eastAsia="Times New Roman" w:hAnsi="Times New Roman" w:cs="Times New Roman"/>
      <w:kern w:val="0"/>
    </w:rPr>
  </w:style>
  <w:style w:type="paragraph" w:styleId="Header">
    <w:name w:val="header"/>
    <w:basedOn w:val="Normal"/>
    <w:link w:val="HeaderChar"/>
    <w:uiPriority w:val="99"/>
    <w:unhideWhenUsed/>
    <w:rsid w:val="006C171A"/>
    <w:pPr>
      <w:tabs>
        <w:tab w:val="center" w:pos="4680"/>
        <w:tab w:val="right" w:pos="9360"/>
      </w:tabs>
    </w:pPr>
  </w:style>
  <w:style w:type="character" w:customStyle="1" w:styleId="HeaderChar">
    <w:name w:val="Header Char"/>
    <w:basedOn w:val="DefaultParagraphFont"/>
    <w:link w:val="Header"/>
    <w:uiPriority w:val="99"/>
    <w:rsid w:val="006C171A"/>
    <w:rPr>
      <w:rFonts w:ascii="Times New Roman" w:eastAsia="Times New Roman" w:hAnsi="Times New Roman" w:cs="Times New Roman"/>
      <w:kern w:val="0"/>
    </w:rPr>
  </w:style>
  <w:style w:type="paragraph" w:styleId="Footer">
    <w:name w:val="footer"/>
    <w:basedOn w:val="Normal"/>
    <w:link w:val="FooterChar"/>
    <w:uiPriority w:val="99"/>
    <w:unhideWhenUsed/>
    <w:rsid w:val="006C171A"/>
    <w:pPr>
      <w:tabs>
        <w:tab w:val="center" w:pos="4680"/>
        <w:tab w:val="right" w:pos="9360"/>
      </w:tabs>
    </w:pPr>
  </w:style>
  <w:style w:type="character" w:customStyle="1" w:styleId="FooterChar">
    <w:name w:val="Footer Char"/>
    <w:basedOn w:val="DefaultParagraphFont"/>
    <w:link w:val="Footer"/>
    <w:uiPriority w:val="99"/>
    <w:rsid w:val="006C171A"/>
    <w:rPr>
      <w:rFonts w:ascii="Times New Roman" w:eastAsia="Times New Roman" w:hAnsi="Times New Roman" w:cs="Times New Roman"/>
      <w:kern w:val="0"/>
    </w:rPr>
  </w:style>
  <w:style w:type="character" w:styleId="PlaceholderText">
    <w:name w:val="Placeholder Text"/>
    <w:basedOn w:val="DefaultParagraphFont"/>
    <w:uiPriority w:val="99"/>
    <w:semiHidden/>
    <w:rsid w:val="00E172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893">
      <w:bodyDiv w:val="1"/>
      <w:marLeft w:val="0"/>
      <w:marRight w:val="0"/>
      <w:marTop w:val="0"/>
      <w:marBottom w:val="0"/>
      <w:divBdr>
        <w:top w:val="none" w:sz="0" w:space="0" w:color="auto"/>
        <w:left w:val="none" w:sz="0" w:space="0" w:color="auto"/>
        <w:bottom w:val="none" w:sz="0" w:space="0" w:color="auto"/>
        <w:right w:val="none" w:sz="0" w:space="0" w:color="auto"/>
      </w:divBdr>
    </w:div>
    <w:div w:id="121123175">
      <w:bodyDiv w:val="1"/>
      <w:marLeft w:val="0"/>
      <w:marRight w:val="0"/>
      <w:marTop w:val="0"/>
      <w:marBottom w:val="0"/>
      <w:divBdr>
        <w:top w:val="none" w:sz="0" w:space="0" w:color="auto"/>
        <w:left w:val="none" w:sz="0" w:space="0" w:color="auto"/>
        <w:bottom w:val="none" w:sz="0" w:space="0" w:color="auto"/>
        <w:right w:val="none" w:sz="0" w:space="0" w:color="auto"/>
      </w:divBdr>
    </w:div>
    <w:div w:id="123621224">
      <w:bodyDiv w:val="1"/>
      <w:marLeft w:val="0"/>
      <w:marRight w:val="0"/>
      <w:marTop w:val="0"/>
      <w:marBottom w:val="0"/>
      <w:divBdr>
        <w:top w:val="none" w:sz="0" w:space="0" w:color="auto"/>
        <w:left w:val="none" w:sz="0" w:space="0" w:color="auto"/>
        <w:bottom w:val="none" w:sz="0" w:space="0" w:color="auto"/>
        <w:right w:val="none" w:sz="0" w:space="0" w:color="auto"/>
      </w:divBdr>
    </w:div>
    <w:div w:id="201985708">
      <w:bodyDiv w:val="1"/>
      <w:marLeft w:val="0"/>
      <w:marRight w:val="0"/>
      <w:marTop w:val="0"/>
      <w:marBottom w:val="0"/>
      <w:divBdr>
        <w:top w:val="none" w:sz="0" w:space="0" w:color="auto"/>
        <w:left w:val="none" w:sz="0" w:space="0" w:color="auto"/>
        <w:bottom w:val="none" w:sz="0" w:space="0" w:color="auto"/>
        <w:right w:val="none" w:sz="0" w:space="0" w:color="auto"/>
      </w:divBdr>
    </w:div>
    <w:div w:id="203637407">
      <w:bodyDiv w:val="1"/>
      <w:marLeft w:val="0"/>
      <w:marRight w:val="0"/>
      <w:marTop w:val="0"/>
      <w:marBottom w:val="0"/>
      <w:divBdr>
        <w:top w:val="none" w:sz="0" w:space="0" w:color="auto"/>
        <w:left w:val="none" w:sz="0" w:space="0" w:color="auto"/>
        <w:bottom w:val="none" w:sz="0" w:space="0" w:color="auto"/>
        <w:right w:val="none" w:sz="0" w:space="0" w:color="auto"/>
      </w:divBdr>
    </w:div>
    <w:div w:id="274219369">
      <w:bodyDiv w:val="1"/>
      <w:marLeft w:val="0"/>
      <w:marRight w:val="0"/>
      <w:marTop w:val="0"/>
      <w:marBottom w:val="0"/>
      <w:divBdr>
        <w:top w:val="none" w:sz="0" w:space="0" w:color="auto"/>
        <w:left w:val="none" w:sz="0" w:space="0" w:color="auto"/>
        <w:bottom w:val="none" w:sz="0" w:space="0" w:color="auto"/>
        <w:right w:val="none" w:sz="0" w:space="0" w:color="auto"/>
      </w:divBdr>
    </w:div>
    <w:div w:id="294678161">
      <w:bodyDiv w:val="1"/>
      <w:marLeft w:val="0"/>
      <w:marRight w:val="0"/>
      <w:marTop w:val="0"/>
      <w:marBottom w:val="0"/>
      <w:divBdr>
        <w:top w:val="none" w:sz="0" w:space="0" w:color="auto"/>
        <w:left w:val="none" w:sz="0" w:space="0" w:color="auto"/>
        <w:bottom w:val="none" w:sz="0" w:space="0" w:color="auto"/>
        <w:right w:val="none" w:sz="0" w:space="0" w:color="auto"/>
      </w:divBdr>
    </w:div>
    <w:div w:id="298652949">
      <w:bodyDiv w:val="1"/>
      <w:marLeft w:val="0"/>
      <w:marRight w:val="0"/>
      <w:marTop w:val="0"/>
      <w:marBottom w:val="0"/>
      <w:divBdr>
        <w:top w:val="none" w:sz="0" w:space="0" w:color="auto"/>
        <w:left w:val="none" w:sz="0" w:space="0" w:color="auto"/>
        <w:bottom w:val="none" w:sz="0" w:space="0" w:color="auto"/>
        <w:right w:val="none" w:sz="0" w:space="0" w:color="auto"/>
      </w:divBdr>
    </w:div>
    <w:div w:id="318970266">
      <w:bodyDiv w:val="1"/>
      <w:marLeft w:val="0"/>
      <w:marRight w:val="0"/>
      <w:marTop w:val="0"/>
      <w:marBottom w:val="0"/>
      <w:divBdr>
        <w:top w:val="none" w:sz="0" w:space="0" w:color="auto"/>
        <w:left w:val="none" w:sz="0" w:space="0" w:color="auto"/>
        <w:bottom w:val="none" w:sz="0" w:space="0" w:color="auto"/>
        <w:right w:val="none" w:sz="0" w:space="0" w:color="auto"/>
      </w:divBdr>
    </w:div>
    <w:div w:id="328219512">
      <w:bodyDiv w:val="1"/>
      <w:marLeft w:val="0"/>
      <w:marRight w:val="0"/>
      <w:marTop w:val="0"/>
      <w:marBottom w:val="0"/>
      <w:divBdr>
        <w:top w:val="none" w:sz="0" w:space="0" w:color="auto"/>
        <w:left w:val="none" w:sz="0" w:space="0" w:color="auto"/>
        <w:bottom w:val="none" w:sz="0" w:space="0" w:color="auto"/>
        <w:right w:val="none" w:sz="0" w:space="0" w:color="auto"/>
      </w:divBdr>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0987338">
      <w:bodyDiv w:val="1"/>
      <w:marLeft w:val="0"/>
      <w:marRight w:val="0"/>
      <w:marTop w:val="0"/>
      <w:marBottom w:val="0"/>
      <w:divBdr>
        <w:top w:val="none" w:sz="0" w:space="0" w:color="auto"/>
        <w:left w:val="none" w:sz="0" w:space="0" w:color="auto"/>
        <w:bottom w:val="none" w:sz="0" w:space="0" w:color="auto"/>
        <w:right w:val="none" w:sz="0" w:space="0" w:color="auto"/>
      </w:divBdr>
    </w:div>
    <w:div w:id="338001099">
      <w:bodyDiv w:val="1"/>
      <w:marLeft w:val="0"/>
      <w:marRight w:val="0"/>
      <w:marTop w:val="0"/>
      <w:marBottom w:val="0"/>
      <w:divBdr>
        <w:top w:val="none" w:sz="0" w:space="0" w:color="auto"/>
        <w:left w:val="none" w:sz="0" w:space="0" w:color="auto"/>
        <w:bottom w:val="none" w:sz="0" w:space="0" w:color="auto"/>
        <w:right w:val="none" w:sz="0" w:space="0" w:color="auto"/>
      </w:divBdr>
    </w:div>
    <w:div w:id="379598572">
      <w:bodyDiv w:val="1"/>
      <w:marLeft w:val="0"/>
      <w:marRight w:val="0"/>
      <w:marTop w:val="0"/>
      <w:marBottom w:val="0"/>
      <w:divBdr>
        <w:top w:val="none" w:sz="0" w:space="0" w:color="auto"/>
        <w:left w:val="none" w:sz="0" w:space="0" w:color="auto"/>
        <w:bottom w:val="none" w:sz="0" w:space="0" w:color="auto"/>
        <w:right w:val="none" w:sz="0" w:space="0" w:color="auto"/>
      </w:divBdr>
    </w:div>
    <w:div w:id="463086156">
      <w:bodyDiv w:val="1"/>
      <w:marLeft w:val="0"/>
      <w:marRight w:val="0"/>
      <w:marTop w:val="0"/>
      <w:marBottom w:val="0"/>
      <w:divBdr>
        <w:top w:val="none" w:sz="0" w:space="0" w:color="auto"/>
        <w:left w:val="none" w:sz="0" w:space="0" w:color="auto"/>
        <w:bottom w:val="none" w:sz="0" w:space="0" w:color="auto"/>
        <w:right w:val="none" w:sz="0" w:space="0" w:color="auto"/>
      </w:divBdr>
    </w:div>
    <w:div w:id="478227379">
      <w:bodyDiv w:val="1"/>
      <w:marLeft w:val="0"/>
      <w:marRight w:val="0"/>
      <w:marTop w:val="0"/>
      <w:marBottom w:val="0"/>
      <w:divBdr>
        <w:top w:val="none" w:sz="0" w:space="0" w:color="auto"/>
        <w:left w:val="none" w:sz="0" w:space="0" w:color="auto"/>
        <w:bottom w:val="none" w:sz="0" w:space="0" w:color="auto"/>
        <w:right w:val="none" w:sz="0" w:space="0" w:color="auto"/>
      </w:divBdr>
    </w:div>
    <w:div w:id="542526473">
      <w:bodyDiv w:val="1"/>
      <w:marLeft w:val="0"/>
      <w:marRight w:val="0"/>
      <w:marTop w:val="0"/>
      <w:marBottom w:val="0"/>
      <w:divBdr>
        <w:top w:val="none" w:sz="0" w:space="0" w:color="auto"/>
        <w:left w:val="none" w:sz="0" w:space="0" w:color="auto"/>
        <w:bottom w:val="none" w:sz="0" w:space="0" w:color="auto"/>
        <w:right w:val="none" w:sz="0" w:space="0" w:color="auto"/>
      </w:divBdr>
    </w:div>
    <w:div w:id="600381477">
      <w:bodyDiv w:val="1"/>
      <w:marLeft w:val="0"/>
      <w:marRight w:val="0"/>
      <w:marTop w:val="0"/>
      <w:marBottom w:val="0"/>
      <w:divBdr>
        <w:top w:val="none" w:sz="0" w:space="0" w:color="auto"/>
        <w:left w:val="none" w:sz="0" w:space="0" w:color="auto"/>
        <w:bottom w:val="none" w:sz="0" w:space="0" w:color="auto"/>
        <w:right w:val="none" w:sz="0" w:space="0" w:color="auto"/>
      </w:divBdr>
    </w:div>
    <w:div w:id="604266377">
      <w:bodyDiv w:val="1"/>
      <w:marLeft w:val="0"/>
      <w:marRight w:val="0"/>
      <w:marTop w:val="0"/>
      <w:marBottom w:val="0"/>
      <w:divBdr>
        <w:top w:val="none" w:sz="0" w:space="0" w:color="auto"/>
        <w:left w:val="none" w:sz="0" w:space="0" w:color="auto"/>
        <w:bottom w:val="none" w:sz="0" w:space="0" w:color="auto"/>
        <w:right w:val="none" w:sz="0" w:space="0" w:color="auto"/>
      </w:divBdr>
    </w:div>
    <w:div w:id="622468260">
      <w:bodyDiv w:val="1"/>
      <w:marLeft w:val="0"/>
      <w:marRight w:val="0"/>
      <w:marTop w:val="0"/>
      <w:marBottom w:val="0"/>
      <w:divBdr>
        <w:top w:val="none" w:sz="0" w:space="0" w:color="auto"/>
        <w:left w:val="none" w:sz="0" w:space="0" w:color="auto"/>
        <w:bottom w:val="none" w:sz="0" w:space="0" w:color="auto"/>
        <w:right w:val="none" w:sz="0" w:space="0" w:color="auto"/>
      </w:divBdr>
    </w:div>
    <w:div w:id="644120251">
      <w:bodyDiv w:val="1"/>
      <w:marLeft w:val="0"/>
      <w:marRight w:val="0"/>
      <w:marTop w:val="0"/>
      <w:marBottom w:val="0"/>
      <w:divBdr>
        <w:top w:val="none" w:sz="0" w:space="0" w:color="auto"/>
        <w:left w:val="none" w:sz="0" w:space="0" w:color="auto"/>
        <w:bottom w:val="none" w:sz="0" w:space="0" w:color="auto"/>
        <w:right w:val="none" w:sz="0" w:space="0" w:color="auto"/>
      </w:divBdr>
    </w:div>
    <w:div w:id="665788370">
      <w:bodyDiv w:val="1"/>
      <w:marLeft w:val="0"/>
      <w:marRight w:val="0"/>
      <w:marTop w:val="0"/>
      <w:marBottom w:val="0"/>
      <w:divBdr>
        <w:top w:val="none" w:sz="0" w:space="0" w:color="auto"/>
        <w:left w:val="none" w:sz="0" w:space="0" w:color="auto"/>
        <w:bottom w:val="none" w:sz="0" w:space="0" w:color="auto"/>
        <w:right w:val="none" w:sz="0" w:space="0" w:color="auto"/>
      </w:divBdr>
    </w:div>
    <w:div w:id="678774810">
      <w:bodyDiv w:val="1"/>
      <w:marLeft w:val="0"/>
      <w:marRight w:val="0"/>
      <w:marTop w:val="0"/>
      <w:marBottom w:val="0"/>
      <w:divBdr>
        <w:top w:val="none" w:sz="0" w:space="0" w:color="auto"/>
        <w:left w:val="none" w:sz="0" w:space="0" w:color="auto"/>
        <w:bottom w:val="none" w:sz="0" w:space="0" w:color="auto"/>
        <w:right w:val="none" w:sz="0" w:space="0" w:color="auto"/>
      </w:divBdr>
    </w:div>
    <w:div w:id="693655294">
      <w:bodyDiv w:val="1"/>
      <w:marLeft w:val="0"/>
      <w:marRight w:val="0"/>
      <w:marTop w:val="0"/>
      <w:marBottom w:val="0"/>
      <w:divBdr>
        <w:top w:val="none" w:sz="0" w:space="0" w:color="auto"/>
        <w:left w:val="none" w:sz="0" w:space="0" w:color="auto"/>
        <w:bottom w:val="none" w:sz="0" w:space="0" w:color="auto"/>
        <w:right w:val="none" w:sz="0" w:space="0" w:color="auto"/>
      </w:divBdr>
    </w:div>
    <w:div w:id="709961383">
      <w:bodyDiv w:val="1"/>
      <w:marLeft w:val="0"/>
      <w:marRight w:val="0"/>
      <w:marTop w:val="0"/>
      <w:marBottom w:val="0"/>
      <w:divBdr>
        <w:top w:val="none" w:sz="0" w:space="0" w:color="auto"/>
        <w:left w:val="none" w:sz="0" w:space="0" w:color="auto"/>
        <w:bottom w:val="none" w:sz="0" w:space="0" w:color="auto"/>
        <w:right w:val="none" w:sz="0" w:space="0" w:color="auto"/>
      </w:divBdr>
    </w:div>
    <w:div w:id="744836272">
      <w:bodyDiv w:val="1"/>
      <w:marLeft w:val="0"/>
      <w:marRight w:val="0"/>
      <w:marTop w:val="0"/>
      <w:marBottom w:val="0"/>
      <w:divBdr>
        <w:top w:val="none" w:sz="0" w:space="0" w:color="auto"/>
        <w:left w:val="none" w:sz="0" w:space="0" w:color="auto"/>
        <w:bottom w:val="none" w:sz="0" w:space="0" w:color="auto"/>
        <w:right w:val="none" w:sz="0" w:space="0" w:color="auto"/>
      </w:divBdr>
    </w:div>
    <w:div w:id="767385646">
      <w:bodyDiv w:val="1"/>
      <w:marLeft w:val="0"/>
      <w:marRight w:val="0"/>
      <w:marTop w:val="0"/>
      <w:marBottom w:val="0"/>
      <w:divBdr>
        <w:top w:val="none" w:sz="0" w:space="0" w:color="auto"/>
        <w:left w:val="none" w:sz="0" w:space="0" w:color="auto"/>
        <w:bottom w:val="none" w:sz="0" w:space="0" w:color="auto"/>
        <w:right w:val="none" w:sz="0" w:space="0" w:color="auto"/>
      </w:divBdr>
    </w:div>
    <w:div w:id="770130621">
      <w:bodyDiv w:val="1"/>
      <w:marLeft w:val="0"/>
      <w:marRight w:val="0"/>
      <w:marTop w:val="0"/>
      <w:marBottom w:val="0"/>
      <w:divBdr>
        <w:top w:val="none" w:sz="0" w:space="0" w:color="auto"/>
        <w:left w:val="none" w:sz="0" w:space="0" w:color="auto"/>
        <w:bottom w:val="none" w:sz="0" w:space="0" w:color="auto"/>
        <w:right w:val="none" w:sz="0" w:space="0" w:color="auto"/>
      </w:divBdr>
    </w:div>
    <w:div w:id="786966121">
      <w:bodyDiv w:val="1"/>
      <w:marLeft w:val="0"/>
      <w:marRight w:val="0"/>
      <w:marTop w:val="0"/>
      <w:marBottom w:val="0"/>
      <w:divBdr>
        <w:top w:val="none" w:sz="0" w:space="0" w:color="auto"/>
        <w:left w:val="none" w:sz="0" w:space="0" w:color="auto"/>
        <w:bottom w:val="none" w:sz="0" w:space="0" w:color="auto"/>
        <w:right w:val="none" w:sz="0" w:space="0" w:color="auto"/>
      </w:divBdr>
    </w:div>
    <w:div w:id="850872996">
      <w:bodyDiv w:val="1"/>
      <w:marLeft w:val="0"/>
      <w:marRight w:val="0"/>
      <w:marTop w:val="0"/>
      <w:marBottom w:val="0"/>
      <w:divBdr>
        <w:top w:val="none" w:sz="0" w:space="0" w:color="auto"/>
        <w:left w:val="none" w:sz="0" w:space="0" w:color="auto"/>
        <w:bottom w:val="none" w:sz="0" w:space="0" w:color="auto"/>
        <w:right w:val="none" w:sz="0" w:space="0" w:color="auto"/>
      </w:divBdr>
    </w:div>
    <w:div w:id="851841992">
      <w:bodyDiv w:val="1"/>
      <w:marLeft w:val="0"/>
      <w:marRight w:val="0"/>
      <w:marTop w:val="0"/>
      <w:marBottom w:val="0"/>
      <w:divBdr>
        <w:top w:val="none" w:sz="0" w:space="0" w:color="auto"/>
        <w:left w:val="none" w:sz="0" w:space="0" w:color="auto"/>
        <w:bottom w:val="none" w:sz="0" w:space="0" w:color="auto"/>
        <w:right w:val="none" w:sz="0" w:space="0" w:color="auto"/>
      </w:divBdr>
    </w:div>
    <w:div w:id="882600025">
      <w:bodyDiv w:val="1"/>
      <w:marLeft w:val="0"/>
      <w:marRight w:val="0"/>
      <w:marTop w:val="0"/>
      <w:marBottom w:val="0"/>
      <w:divBdr>
        <w:top w:val="none" w:sz="0" w:space="0" w:color="auto"/>
        <w:left w:val="none" w:sz="0" w:space="0" w:color="auto"/>
        <w:bottom w:val="none" w:sz="0" w:space="0" w:color="auto"/>
        <w:right w:val="none" w:sz="0" w:space="0" w:color="auto"/>
      </w:divBdr>
    </w:div>
    <w:div w:id="947128308">
      <w:bodyDiv w:val="1"/>
      <w:marLeft w:val="0"/>
      <w:marRight w:val="0"/>
      <w:marTop w:val="0"/>
      <w:marBottom w:val="0"/>
      <w:divBdr>
        <w:top w:val="none" w:sz="0" w:space="0" w:color="auto"/>
        <w:left w:val="none" w:sz="0" w:space="0" w:color="auto"/>
        <w:bottom w:val="none" w:sz="0" w:space="0" w:color="auto"/>
        <w:right w:val="none" w:sz="0" w:space="0" w:color="auto"/>
      </w:divBdr>
    </w:div>
    <w:div w:id="973484128">
      <w:bodyDiv w:val="1"/>
      <w:marLeft w:val="0"/>
      <w:marRight w:val="0"/>
      <w:marTop w:val="0"/>
      <w:marBottom w:val="0"/>
      <w:divBdr>
        <w:top w:val="none" w:sz="0" w:space="0" w:color="auto"/>
        <w:left w:val="none" w:sz="0" w:space="0" w:color="auto"/>
        <w:bottom w:val="none" w:sz="0" w:space="0" w:color="auto"/>
        <w:right w:val="none" w:sz="0" w:space="0" w:color="auto"/>
      </w:divBdr>
    </w:div>
    <w:div w:id="979845967">
      <w:bodyDiv w:val="1"/>
      <w:marLeft w:val="0"/>
      <w:marRight w:val="0"/>
      <w:marTop w:val="0"/>
      <w:marBottom w:val="0"/>
      <w:divBdr>
        <w:top w:val="none" w:sz="0" w:space="0" w:color="auto"/>
        <w:left w:val="none" w:sz="0" w:space="0" w:color="auto"/>
        <w:bottom w:val="none" w:sz="0" w:space="0" w:color="auto"/>
        <w:right w:val="none" w:sz="0" w:space="0" w:color="auto"/>
      </w:divBdr>
    </w:div>
    <w:div w:id="1020090317">
      <w:bodyDiv w:val="1"/>
      <w:marLeft w:val="0"/>
      <w:marRight w:val="0"/>
      <w:marTop w:val="0"/>
      <w:marBottom w:val="0"/>
      <w:divBdr>
        <w:top w:val="none" w:sz="0" w:space="0" w:color="auto"/>
        <w:left w:val="none" w:sz="0" w:space="0" w:color="auto"/>
        <w:bottom w:val="none" w:sz="0" w:space="0" w:color="auto"/>
        <w:right w:val="none" w:sz="0" w:space="0" w:color="auto"/>
      </w:divBdr>
    </w:div>
    <w:div w:id="1022975358">
      <w:bodyDiv w:val="1"/>
      <w:marLeft w:val="0"/>
      <w:marRight w:val="0"/>
      <w:marTop w:val="0"/>
      <w:marBottom w:val="0"/>
      <w:divBdr>
        <w:top w:val="none" w:sz="0" w:space="0" w:color="auto"/>
        <w:left w:val="none" w:sz="0" w:space="0" w:color="auto"/>
        <w:bottom w:val="none" w:sz="0" w:space="0" w:color="auto"/>
        <w:right w:val="none" w:sz="0" w:space="0" w:color="auto"/>
      </w:divBdr>
    </w:div>
    <w:div w:id="1032917797">
      <w:bodyDiv w:val="1"/>
      <w:marLeft w:val="0"/>
      <w:marRight w:val="0"/>
      <w:marTop w:val="0"/>
      <w:marBottom w:val="0"/>
      <w:divBdr>
        <w:top w:val="none" w:sz="0" w:space="0" w:color="auto"/>
        <w:left w:val="none" w:sz="0" w:space="0" w:color="auto"/>
        <w:bottom w:val="none" w:sz="0" w:space="0" w:color="auto"/>
        <w:right w:val="none" w:sz="0" w:space="0" w:color="auto"/>
      </w:divBdr>
    </w:div>
    <w:div w:id="1042635914">
      <w:bodyDiv w:val="1"/>
      <w:marLeft w:val="0"/>
      <w:marRight w:val="0"/>
      <w:marTop w:val="0"/>
      <w:marBottom w:val="0"/>
      <w:divBdr>
        <w:top w:val="none" w:sz="0" w:space="0" w:color="auto"/>
        <w:left w:val="none" w:sz="0" w:space="0" w:color="auto"/>
        <w:bottom w:val="none" w:sz="0" w:space="0" w:color="auto"/>
        <w:right w:val="none" w:sz="0" w:space="0" w:color="auto"/>
      </w:divBdr>
    </w:div>
    <w:div w:id="1062829135">
      <w:bodyDiv w:val="1"/>
      <w:marLeft w:val="0"/>
      <w:marRight w:val="0"/>
      <w:marTop w:val="0"/>
      <w:marBottom w:val="0"/>
      <w:divBdr>
        <w:top w:val="none" w:sz="0" w:space="0" w:color="auto"/>
        <w:left w:val="none" w:sz="0" w:space="0" w:color="auto"/>
        <w:bottom w:val="none" w:sz="0" w:space="0" w:color="auto"/>
        <w:right w:val="none" w:sz="0" w:space="0" w:color="auto"/>
      </w:divBdr>
    </w:div>
    <w:div w:id="1084499826">
      <w:bodyDiv w:val="1"/>
      <w:marLeft w:val="0"/>
      <w:marRight w:val="0"/>
      <w:marTop w:val="0"/>
      <w:marBottom w:val="0"/>
      <w:divBdr>
        <w:top w:val="none" w:sz="0" w:space="0" w:color="auto"/>
        <w:left w:val="none" w:sz="0" w:space="0" w:color="auto"/>
        <w:bottom w:val="none" w:sz="0" w:space="0" w:color="auto"/>
        <w:right w:val="none" w:sz="0" w:space="0" w:color="auto"/>
      </w:divBdr>
    </w:div>
    <w:div w:id="1089808191">
      <w:bodyDiv w:val="1"/>
      <w:marLeft w:val="0"/>
      <w:marRight w:val="0"/>
      <w:marTop w:val="0"/>
      <w:marBottom w:val="0"/>
      <w:divBdr>
        <w:top w:val="none" w:sz="0" w:space="0" w:color="auto"/>
        <w:left w:val="none" w:sz="0" w:space="0" w:color="auto"/>
        <w:bottom w:val="none" w:sz="0" w:space="0" w:color="auto"/>
        <w:right w:val="none" w:sz="0" w:space="0" w:color="auto"/>
      </w:divBdr>
    </w:div>
    <w:div w:id="1091897336">
      <w:bodyDiv w:val="1"/>
      <w:marLeft w:val="0"/>
      <w:marRight w:val="0"/>
      <w:marTop w:val="0"/>
      <w:marBottom w:val="0"/>
      <w:divBdr>
        <w:top w:val="none" w:sz="0" w:space="0" w:color="auto"/>
        <w:left w:val="none" w:sz="0" w:space="0" w:color="auto"/>
        <w:bottom w:val="none" w:sz="0" w:space="0" w:color="auto"/>
        <w:right w:val="none" w:sz="0" w:space="0" w:color="auto"/>
      </w:divBdr>
    </w:div>
    <w:div w:id="1115251917">
      <w:bodyDiv w:val="1"/>
      <w:marLeft w:val="0"/>
      <w:marRight w:val="0"/>
      <w:marTop w:val="0"/>
      <w:marBottom w:val="0"/>
      <w:divBdr>
        <w:top w:val="none" w:sz="0" w:space="0" w:color="auto"/>
        <w:left w:val="none" w:sz="0" w:space="0" w:color="auto"/>
        <w:bottom w:val="none" w:sz="0" w:space="0" w:color="auto"/>
        <w:right w:val="none" w:sz="0" w:space="0" w:color="auto"/>
      </w:divBdr>
    </w:div>
    <w:div w:id="1117523922">
      <w:bodyDiv w:val="1"/>
      <w:marLeft w:val="0"/>
      <w:marRight w:val="0"/>
      <w:marTop w:val="0"/>
      <w:marBottom w:val="0"/>
      <w:divBdr>
        <w:top w:val="none" w:sz="0" w:space="0" w:color="auto"/>
        <w:left w:val="none" w:sz="0" w:space="0" w:color="auto"/>
        <w:bottom w:val="none" w:sz="0" w:space="0" w:color="auto"/>
        <w:right w:val="none" w:sz="0" w:space="0" w:color="auto"/>
      </w:divBdr>
    </w:div>
    <w:div w:id="1185250627">
      <w:bodyDiv w:val="1"/>
      <w:marLeft w:val="0"/>
      <w:marRight w:val="0"/>
      <w:marTop w:val="0"/>
      <w:marBottom w:val="0"/>
      <w:divBdr>
        <w:top w:val="none" w:sz="0" w:space="0" w:color="auto"/>
        <w:left w:val="none" w:sz="0" w:space="0" w:color="auto"/>
        <w:bottom w:val="none" w:sz="0" w:space="0" w:color="auto"/>
        <w:right w:val="none" w:sz="0" w:space="0" w:color="auto"/>
      </w:divBdr>
    </w:div>
    <w:div w:id="1245534935">
      <w:bodyDiv w:val="1"/>
      <w:marLeft w:val="0"/>
      <w:marRight w:val="0"/>
      <w:marTop w:val="0"/>
      <w:marBottom w:val="0"/>
      <w:divBdr>
        <w:top w:val="none" w:sz="0" w:space="0" w:color="auto"/>
        <w:left w:val="none" w:sz="0" w:space="0" w:color="auto"/>
        <w:bottom w:val="none" w:sz="0" w:space="0" w:color="auto"/>
        <w:right w:val="none" w:sz="0" w:space="0" w:color="auto"/>
      </w:divBdr>
    </w:div>
    <w:div w:id="1288973509">
      <w:bodyDiv w:val="1"/>
      <w:marLeft w:val="0"/>
      <w:marRight w:val="0"/>
      <w:marTop w:val="0"/>
      <w:marBottom w:val="0"/>
      <w:divBdr>
        <w:top w:val="none" w:sz="0" w:space="0" w:color="auto"/>
        <w:left w:val="none" w:sz="0" w:space="0" w:color="auto"/>
        <w:bottom w:val="none" w:sz="0" w:space="0" w:color="auto"/>
        <w:right w:val="none" w:sz="0" w:space="0" w:color="auto"/>
      </w:divBdr>
    </w:div>
    <w:div w:id="1292783245">
      <w:bodyDiv w:val="1"/>
      <w:marLeft w:val="0"/>
      <w:marRight w:val="0"/>
      <w:marTop w:val="0"/>
      <w:marBottom w:val="0"/>
      <w:divBdr>
        <w:top w:val="none" w:sz="0" w:space="0" w:color="auto"/>
        <w:left w:val="none" w:sz="0" w:space="0" w:color="auto"/>
        <w:bottom w:val="none" w:sz="0" w:space="0" w:color="auto"/>
        <w:right w:val="none" w:sz="0" w:space="0" w:color="auto"/>
      </w:divBdr>
    </w:div>
    <w:div w:id="1302924017">
      <w:bodyDiv w:val="1"/>
      <w:marLeft w:val="0"/>
      <w:marRight w:val="0"/>
      <w:marTop w:val="0"/>
      <w:marBottom w:val="0"/>
      <w:divBdr>
        <w:top w:val="none" w:sz="0" w:space="0" w:color="auto"/>
        <w:left w:val="none" w:sz="0" w:space="0" w:color="auto"/>
        <w:bottom w:val="none" w:sz="0" w:space="0" w:color="auto"/>
        <w:right w:val="none" w:sz="0" w:space="0" w:color="auto"/>
      </w:divBdr>
    </w:div>
    <w:div w:id="1366250635">
      <w:bodyDiv w:val="1"/>
      <w:marLeft w:val="0"/>
      <w:marRight w:val="0"/>
      <w:marTop w:val="0"/>
      <w:marBottom w:val="0"/>
      <w:divBdr>
        <w:top w:val="none" w:sz="0" w:space="0" w:color="auto"/>
        <w:left w:val="none" w:sz="0" w:space="0" w:color="auto"/>
        <w:bottom w:val="none" w:sz="0" w:space="0" w:color="auto"/>
        <w:right w:val="none" w:sz="0" w:space="0" w:color="auto"/>
      </w:divBdr>
    </w:div>
    <w:div w:id="1417819948">
      <w:bodyDiv w:val="1"/>
      <w:marLeft w:val="0"/>
      <w:marRight w:val="0"/>
      <w:marTop w:val="0"/>
      <w:marBottom w:val="0"/>
      <w:divBdr>
        <w:top w:val="none" w:sz="0" w:space="0" w:color="auto"/>
        <w:left w:val="none" w:sz="0" w:space="0" w:color="auto"/>
        <w:bottom w:val="none" w:sz="0" w:space="0" w:color="auto"/>
        <w:right w:val="none" w:sz="0" w:space="0" w:color="auto"/>
      </w:divBdr>
    </w:div>
    <w:div w:id="1507667657">
      <w:bodyDiv w:val="1"/>
      <w:marLeft w:val="0"/>
      <w:marRight w:val="0"/>
      <w:marTop w:val="0"/>
      <w:marBottom w:val="0"/>
      <w:divBdr>
        <w:top w:val="none" w:sz="0" w:space="0" w:color="auto"/>
        <w:left w:val="none" w:sz="0" w:space="0" w:color="auto"/>
        <w:bottom w:val="none" w:sz="0" w:space="0" w:color="auto"/>
        <w:right w:val="none" w:sz="0" w:space="0" w:color="auto"/>
      </w:divBdr>
    </w:div>
    <w:div w:id="1508902715">
      <w:bodyDiv w:val="1"/>
      <w:marLeft w:val="0"/>
      <w:marRight w:val="0"/>
      <w:marTop w:val="0"/>
      <w:marBottom w:val="0"/>
      <w:divBdr>
        <w:top w:val="none" w:sz="0" w:space="0" w:color="auto"/>
        <w:left w:val="none" w:sz="0" w:space="0" w:color="auto"/>
        <w:bottom w:val="none" w:sz="0" w:space="0" w:color="auto"/>
        <w:right w:val="none" w:sz="0" w:space="0" w:color="auto"/>
      </w:divBdr>
    </w:div>
    <w:div w:id="1518815238">
      <w:bodyDiv w:val="1"/>
      <w:marLeft w:val="0"/>
      <w:marRight w:val="0"/>
      <w:marTop w:val="0"/>
      <w:marBottom w:val="0"/>
      <w:divBdr>
        <w:top w:val="none" w:sz="0" w:space="0" w:color="auto"/>
        <w:left w:val="none" w:sz="0" w:space="0" w:color="auto"/>
        <w:bottom w:val="none" w:sz="0" w:space="0" w:color="auto"/>
        <w:right w:val="none" w:sz="0" w:space="0" w:color="auto"/>
      </w:divBdr>
    </w:div>
    <w:div w:id="1550846422">
      <w:bodyDiv w:val="1"/>
      <w:marLeft w:val="0"/>
      <w:marRight w:val="0"/>
      <w:marTop w:val="0"/>
      <w:marBottom w:val="0"/>
      <w:divBdr>
        <w:top w:val="none" w:sz="0" w:space="0" w:color="auto"/>
        <w:left w:val="none" w:sz="0" w:space="0" w:color="auto"/>
        <w:bottom w:val="none" w:sz="0" w:space="0" w:color="auto"/>
        <w:right w:val="none" w:sz="0" w:space="0" w:color="auto"/>
      </w:divBdr>
    </w:div>
    <w:div w:id="1594507963">
      <w:bodyDiv w:val="1"/>
      <w:marLeft w:val="0"/>
      <w:marRight w:val="0"/>
      <w:marTop w:val="0"/>
      <w:marBottom w:val="0"/>
      <w:divBdr>
        <w:top w:val="none" w:sz="0" w:space="0" w:color="auto"/>
        <w:left w:val="none" w:sz="0" w:space="0" w:color="auto"/>
        <w:bottom w:val="none" w:sz="0" w:space="0" w:color="auto"/>
        <w:right w:val="none" w:sz="0" w:space="0" w:color="auto"/>
      </w:divBdr>
    </w:div>
    <w:div w:id="1605651451">
      <w:bodyDiv w:val="1"/>
      <w:marLeft w:val="0"/>
      <w:marRight w:val="0"/>
      <w:marTop w:val="0"/>
      <w:marBottom w:val="0"/>
      <w:divBdr>
        <w:top w:val="none" w:sz="0" w:space="0" w:color="auto"/>
        <w:left w:val="none" w:sz="0" w:space="0" w:color="auto"/>
        <w:bottom w:val="none" w:sz="0" w:space="0" w:color="auto"/>
        <w:right w:val="none" w:sz="0" w:space="0" w:color="auto"/>
      </w:divBdr>
    </w:div>
    <w:div w:id="1629124075">
      <w:bodyDiv w:val="1"/>
      <w:marLeft w:val="0"/>
      <w:marRight w:val="0"/>
      <w:marTop w:val="0"/>
      <w:marBottom w:val="0"/>
      <w:divBdr>
        <w:top w:val="none" w:sz="0" w:space="0" w:color="auto"/>
        <w:left w:val="none" w:sz="0" w:space="0" w:color="auto"/>
        <w:bottom w:val="none" w:sz="0" w:space="0" w:color="auto"/>
        <w:right w:val="none" w:sz="0" w:space="0" w:color="auto"/>
      </w:divBdr>
    </w:div>
    <w:div w:id="1673340342">
      <w:bodyDiv w:val="1"/>
      <w:marLeft w:val="0"/>
      <w:marRight w:val="0"/>
      <w:marTop w:val="0"/>
      <w:marBottom w:val="0"/>
      <w:divBdr>
        <w:top w:val="none" w:sz="0" w:space="0" w:color="auto"/>
        <w:left w:val="none" w:sz="0" w:space="0" w:color="auto"/>
        <w:bottom w:val="none" w:sz="0" w:space="0" w:color="auto"/>
        <w:right w:val="none" w:sz="0" w:space="0" w:color="auto"/>
      </w:divBdr>
    </w:div>
    <w:div w:id="1718041821">
      <w:bodyDiv w:val="1"/>
      <w:marLeft w:val="0"/>
      <w:marRight w:val="0"/>
      <w:marTop w:val="0"/>
      <w:marBottom w:val="0"/>
      <w:divBdr>
        <w:top w:val="none" w:sz="0" w:space="0" w:color="auto"/>
        <w:left w:val="none" w:sz="0" w:space="0" w:color="auto"/>
        <w:bottom w:val="none" w:sz="0" w:space="0" w:color="auto"/>
        <w:right w:val="none" w:sz="0" w:space="0" w:color="auto"/>
      </w:divBdr>
    </w:div>
    <w:div w:id="1732147884">
      <w:bodyDiv w:val="1"/>
      <w:marLeft w:val="0"/>
      <w:marRight w:val="0"/>
      <w:marTop w:val="0"/>
      <w:marBottom w:val="0"/>
      <w:divBdr>
        <w:top w:val="none" w:sz="0" w:space="0" w:color="auto"/>
        <w:left w:val="none" w:sz="0" w:space="0" w:color="auto"/>
        <w:bottom w:val="none" w:sz="0" w:space="0" w:color="auto"/>
        <w:right w:val="none" w:sz="0" w:space="0" w:color="auto"/>
      </w:divBdr>
    </w:div>
    <w:div w:id="1739010235">
      <w:bodyDiv w:val="1"/>
      <w:marLeft w:val="0"/>
      <w:marRight w:val="0"/>
      <w:marTop w:val="0"/>
      <w:marBottom w:val="0"/>
      <w:divBdr>
        <w:top w:val="none" w:sz="0" w:space="0" w:color="auto"/>
        <w:left w:val="none" w:sz="0" w:space="0" w:color="auto"/>
        <w:bottom w:val="none" w:sz="0" w:space="0" w:color="auto"/>
        <w:right w:val="none" w:sz="0" w:space="0" w:color="auto"/>
      </w:divBdr>
    </w:div>
    <w:div w:id="1832940534">
      <w:bodyDiv w:val="1"/>
      <w:marLeft w:val="0"/>
      <w:marRight w:val="0"/>
      <w:marTop w:val="0"/>
      <w:marBottom w:val="0"/>
      <w:divBdr>
        <w:top w:val="none" w:sz="0" w:space="0" w:color="auto"/>
        <w:left w:val="none" w:sz="0" w:space="0" w:color="auto"/>
        <w:bottom w:val="none" w:sz="0" w:space="0" w:color="auto"/>
        <w:right w:val="none" w:sz="0" w:space="0" w:color="auto"/>
      </w:divBdr>
    </w:div>
    <w:div w:id="1870950080">
      <w:bodyDiv w:val="1"/>
      <w:marLeft w:val="0"/>
      <w:marRight w:val="0"/>
      <w:marTop w:val="0"/>
      <w:marBottom w:val="0"/>
      <w:divBdr>
        <w:top w:val="none" w:sz="0" w:space="0" w:color="auto"/>
        <w:left w:val="none" w:sz="0" w:space="0" w:color="auto"/>
        <w:bottom w:val="none" w:sz="0" w:space="0" w:color="auto"/>
        <w:right w:val="none" w:sz="0" w:space="0" w:color="auto"/>
      </w:divBdr>
    </w:div>
    <w:div w:id="1999069197">
      <w:bodyDiv w:val="1"/>
      <w:marLeft w:val="0"/>
      <w:marRight w:val="0"/>
      <w:marTop w:val="0"/>
      <w:marBottom w:val="0"/>
      <w:divBdr>
        <w:top w:val="none" w:sz="0" w:space="0" w:color="auto"/>
        <w:left w:val="none" w:sz="0" w:space="0" w:color="auto"/>
        <w:bottom w:val="none" w:sz="0" w:space="0" w:color="auto"/>
        <w:right w:val="none" w:sz="0" w:space="0" w:color="auto"/>
      </w:divBdr>
    </w:div>
    <w:div w:id="2010328364">
      <w:bodyDiv w:val="1"/>
      <w:marLeft w:val="0"/>
      <w:marRight w:val="0"/>
      <w:marTop w:val="0"/>
      <w:marBottom w:val="0"/>
      <w:divBdr>
        <w:top w:val="none" w:sz="0" w:space="0" w:color="auto"/>
        <w:left w:val="none" w:sz="0" w:space="0" w:color="auto"/>
        <w:bottom w:val="none" w:sz="0" w:space="0" w:color="auto"/>
        <w:right w:val="none" w:sz="0" w:space="0" w:color="auto"/>
      </w:divBdr>
    </w:div>
    <w:div w:id="2018847679">
      <w:bodyDiv w:val="1"/>
      <w:marLeft w:val="0"/>
      <w:marRight w:val="0"/>
      <w:marTop w:val="0"/>
      <w:marBottom w:val="0"/>
      <w:divBdr>
        <w:top w:val="none" w:sz="0" w:space="0" w:color="auto"/>
        <w:left w:val="none" w:sz="0" w:space="0" w:color="auto"/>
        <w:bottom w:val="none" w:sz="0" w:space="0" w:color="auto"/>
        <w:right w:val="none" w:sz="0" w:space="0" w:color="auto"/>
      </w:divBdr>
    </w:div>
    <w:div w:id="2040272676">
      <w:bodyDiv w:val="1"/>
      <w:marLeft w:val="0"/>
      <w:marRight w:val="0"/>
      <w:marTop w:val="0"/>
      <w:marBottom w:val="0"/>
      <w:divBdr>
        <w:top w:val="none" w:sz="0" w:space="0" w:color="auto"/>
        <w:left w:val="none" w:sz="0" w:space="0" w:color="auto"/>
        <w:bottom w:val="none" w:sz="0" w:space="0" w:color="auto"/>
        <w:right w:val="none" w:sz="0" w:space="0" w:color="auto"/>
      </w:divBdr>
    </w:div>
    <w:div w:id="2093970304">
      <w:bodyDiv w:val="1"/>
      <w:marLeft w:val="0"/>
      <w:marRight w:val="0"/>
      <w:marTop w:val="0"/>
      <w:marBottom w:val="0"/>
      <w:divBdr>
        <w:top w:val="none" w:sz="0" w:space="0" w:color="auto"/>
        <w:left w:val="none" w:sz="0" w:space="0" w:color="auto"/>
        <w:bottom w:val="none" w:sz="0" w:space="0" w:color="auto"/>
        <w:right w:val="none" w:sz="0" w:space="0" w:color="auto"/>
      </w:divBdr>
    </w:div>
    <w:div w:id="2106877423">
      <w:bodyDiv w:val="1"/>
      <w:marLeft w:val="0"/>
      <w:marRight w:val="0"/>
      <w:marTop w:val="0"/>
      <w:marBottom w:val="0"/>
      <w:divBdr>
        <w:top w:val="none" w:sz="0" w:space="0" w:color="auto"/>
        <w:left w:val="none" w:sz="0" w:space="0" w:color="auto"/>
        <w:bottom w:val="none" w:sz="0" w:space="0" w:color="auto"/>
        <w:right w:val="none" w:sz="0" w:space="0" w:color="auto"/>
      </w:divBdr>
    </w:div>
    <w:div w:id="21314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farhat@ccsu.edu"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lseg.com/content/dam/data-analytics/en_us/documents/methodology/lseg-esg-scores-methodology.pdf" TargetMode="External"/><Relationship Id="rId7" Type="http://schemas.openxmlformats.org/officeDocument/2006/relationships/hyperlink" Target="mailto:cotei@hartford.edu"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rfs.oxfordjournals.org/content/23/11/3996.abstract?etoc" TargetMode="External"/><Relationship Id="rId20" Type="http://schemas.openxmlformats.org/officeDocument/2006/relationships/image" Target="media/image9.png"/><Relationship Id="rId29" Type="http://schemas.openxmlformats.org/officeDocument/2006/relationships/hyperlink" Target="https://www.lseg.com/content/dam/data-analytics/en_us/documents/methodology/lseg-esg-scores-methodolog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hyperlink" Target="https://www.lseg.com/content/dam/data-analytics/en_us/documents/methodology/lseg-esg-scores-methodology.pdf" TargetMode="External"/><Relationship Id="rId10" Type="http://schemas.openxmlformats.org/officeDocument/2006/relationships/image" Target="media/image1.png"/><Relationship Id="rId19" Type="http://schemas.openxmlformats.org/officeDocument/2006/relationships/hyperlink" Target="https://www.lseg.com/content/dam/data-analytics/en_us/documents/methodology/lseg-esg-scores-methodology.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overnor@cbj.gov.jo" TargetMode="Externa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8867</Words>
  <Characters>49747</Characters>
  <Application>Microsoft Office Word</Application>
  <DocSecurity>0</DocSecurity>
  <Lines>2618</Lines>
  <Paragraphs>2021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56593</CharactersWithSpaces>
  <SharedDoc>false</SharedDoc>
  <HLinks>
    <vt:vector size="48" baseType="variant">
      <vt:variant>
        <vt:i4>7798790</vt:i4>
      </vt:variant>
      <vt:variant>
        <vt:i4>48</vt:i4>
      </vt:variant>
      <vt:variant>
        <vt:i4>0</vt:i4>
      </vt:variant>
      <vt:variant>
        <vt:i4>5</vt:i4>
      </vt:variant>
      <vt:variant>
        <vt:lpwstr>https://www.lseg.com/content/dam/data-analytics/en_us/documents/methodology/lseg-esg-scores-methodology.pdf</vt:lpwstr>
      </vt:variant>
      <vt:variant>
        <vt:lpwstr/>
      </vt:variant>
      <vt:variant>
        <vt:i4>7798790</vt:i4>
      </vt:variant>
      <vt:variant>
        <vt:i4>45</vt:i4>
      </vt:variant>
      <vt:variant>
        <vt:i4>0</vt:i4>
      </vt:variant>
      <vt:variant>
        <vt:i4>5</vt:i4>
      </vt:variant>
      <vt:variant>
        <vt:lpwstr>https://www.lseg.com/content/dam/data-analytics/en_us/documents/methodology/lseg-esg-scores-methodology.pdf</vt:lpwstr>
      </vt:variant>
      <vt:variant>
        <vt:lpwstr/>
      </vt:variant>
      <vt:variant>
        <vt:i4>7798790</vt:i4>
      </vt:variant>
      <vt:variant>
        <vt:i4>42</vt:i4>
      </vt:variant>
      <vt:variant>
        <vt:i4>0</vt:i4>
      </vt:variant>
      <vt:variant>
        <vt:i4>5</vt:i4>
      </vt:variant>
      <vt:variant>
        <vt:lpwstr>https://www.lseg.com/content/dam/data-analytics/en_us/documents/methodology/lseg-esg-scores-methodology.pdf</vt:lpwstr>
      </vt:variant>
      <vt:variant>
        <vt:lpwstr/>
      </vt:variant>
      <vt:variant>
        <vt:i4>7798790</vt:i4>
      </vt:variant>
      <vt:variant>
        <vt:i4>39</vt:i4>
      </vt:variant>
      <vt:variant>
        <vt:i4>0</vt:i4>
      </vt:variant>
      <vt:variant>
        <vt:i4>5</vt:i4>
      </vt:variant>
      <vt:variant>
        <vt:lpwstr>https://www.lseg.com/content/dam/data-analytics/en_us/documents/methodology/lseg-esg-scores-methodology.pdf</vt:lpwstr>
      </vt:variant>
      <vt:variant>
        <vt:lpwstr/>
      </vt:variant>
      <vt:variant>
        <vt:i4>2359356</vt:i4>
      </vt:variant>
      <vt:variant>
        <vt:i4>9</vt:i4>
      </vt:variant>
      <vt:variant>
        <vt:i4>0</vt:i4>
      </vt:variant>
      <vt:variant>
        <vt:i4>5</vt:i4>
      </vt:variant>
      <vt:variant>
        <vt:lpwstr>http://rfs.oxfordjournals.org/content/23/11/3996.abstract?etoc</vt:lpwstr>
      </vt:variant>
      <vt:variant>
        <vt:lpwstr>ref-5</vt:lpwstr>
      </vt:variant>
      <vt:variant>
        <vt:i4>4980782</vt:i4>
      </vt:variant>
      <vt:variant>
        <vt:i4>6</vt:i4>
      </vt:variant>
      <vt:variant>
        <vt:i4>0</vt:i4>
      </vt:variant>
      <vt:variant>
        <vt:i4>5</vt:i4>
      </vt:variant>
      <vt:variant>
        <vt:lpwstr>mailto:governor@cbj.gov.jo</vt:lpwstr>
      </vt:variant>
      <vt:variant>
        <vt:lpwstr/>
      </vt:variant>
      <vt:variant>
        <vt:i4>3670031</vt:i4>
      </vt:variant>
      <vt:variant>
        <vt:i4>3</vt:i4>
      </vt:variant>
      <vt:variant>
        <vt:i4>0</vt:i4>
      </vt:variant>
      <vt:variant>
        <vt:i4>5</vt:i4>
      </vt:variant>
      <vt:variant>
        <vt:lpwstr>mailto:josephfarhat@ccsu.edu</vt:lpwstr>
      </vt:variant>
      <vt:variant>
        <vt:lpwstr/>
      </vt:variant>
      <vt:variant>
        <vt:i4>5767291</vt:i4>
      </vt:variant>
      <vt:variant>
        <vt:i4>0</vt:i4>
      </vt:variant>
      <vt:variant>
        <vt:i4>0</vt:i4>
      </vt:variant>
      <vt:variant>
        <vt:i4>5</vt:i4>
      </vt:variant>
      <vt:variant>
        <vt:lpwstr>mailto:cotei@hartford.edu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Farhat, Joseph (Finance Academic)</dc:creator>
  <cp:keywords/>
  <dc:description/>
  <cp:lastModifiedBy>Farhat, Joseph (Finance Academic)</cp:lastModifiedBy>
  <cp:revision>2</cp:revision>
  <cp:lastPrinted>2024-11-08T14:43:00Z</cp:lastPrinted>
  <dcterms:created xsi:type="dcterms:W3CDTF">2025-05-28T04:00:00Z</dcterms:created>
  <dcterms:modified xsi:type="dcterms:W3CDTF">2025-05-28T04:00:00Z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29200f9b-dd65-45f4-a661-5ae70ccd03c8</vt:lpwstr>
  </property>
</Properties>
</file>